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282"/>
          <w:tab w:val="right" w:pos="9492"/>
          <w:tab w:val="clear" w:pos="4536"/>
          <w:tab w:val="clear" w:pos="9072"/>
        </w:tabs>
        <w:spacing w:before="0" w:beforeLines="0" w:after="0" w:afterLines="0"/>
        <w:rPr>
          <w:rFonts w:eastAsia="宋体" w:cs="Arial"/>
          <w:sz w:val="22"/>
          <w:szCs w:val="22"/>
          <w:lang w:eastAsia="zh-CN"/>
        </w:rPr>
      </w:pPr>
      <w:r>
        <w:rPr>
          <w:rFonts w:cs="Arial"/>
          <w:sz w:val="22"/>
          <w:szCs w:val="22"/>
        </w:rPr>
        <w:t>3GPP TSG RAN WG1 Meeting #1</w:t>
      </w:r>
      <w:r>
        <w:rPr>
          <w:rFonts w:eastAsia="宋体" w:cs="Arial"/>
          <w:sz w:val="22"/>
          <w:szCs w:val="22"/>
          <w:lang w:eastAsia="zh-CN"/>
        </w:rPr>
        <w:t>1</w:t>
      </w:r>
      <w:r>
        <w:rPr>
          <w:rFonts w:hint="eastAsia" w:eastAsia="宋体" w:cs="Arial"/>
          <w:sz w:val="22"/>
          <w:szCs w:val="22"/>
          <w:lang w:eastAsia="zh-CN"/>
        </w:rPr>
        <w:t>9</w:t>
      </w:r>
      <w:r>
        <w:rPr>
          <w:rFonts w:eastAsia="宋体" w:cs="Arial"/>
          <w:sz w:val="22"/>
          <w:szCs w:val="22"/>
          <w:lang w:eastAsia="zh-CN"/>
        </w:rPr>
        <w:tab/>
      </w:r>
      <w:r>
        <w:rPr>
          <w:rFonts w:cs="Arial"/>
          <w:sz w:val="22"/>
          <w:szCs w:val="22"/>
          <w:lang w:eastAsia="ja-JP"/>
        </w:rPr>
        <w:t>R1-</w:t>
      </w:r>
      <w:r>
        <w:rPr>
          <w:rFonts w:eastAsia="宋体" w:cs="Arial"/>
          <w:sz w:val="22"/>
          <w:szCs w:val="22"/>
          <w:lang w:eastAsia="zh-CN"/>
        </w:rPr>
        <w:t>240</w:t>
      </w:r>
      <w:r>
        <w:rPr>
          <w:rFonts w:hint="eastAsia" w:eastAsia="宋体" w:cs="Arial"/>
          <w:sz w:val="22"/>
          <w:szCs w:val="22"/>
          <w:lang w:eastAsia="zh-CN"/>
        </w:rPr>
        <w:t>9380</w:t>
      </w:r>
    </w:p>
    <w:p>
      <w:pPr>
        <w:adjustRightInd w:val="0"/>
        <w:spacing w:beforeAutospacing="0" w:after="180"/>
        <w:rPr>
          <w:rFonts w:ascii="Arial" w:hAnsi="Arial" w:eastAsia="宋体" w:cs="Arial"/>
          <w:b/>
          <w:sz w:val="22"/>
        </w:rPr>
      </w:pPr>
      <w:r>
        <w:rPr>
          <w:rFonts w:hint="eastAsia" w:ascii="Arial" w:hAnsi="Arial" w:eastAsia="宋体" w:cs="Arial"/>
          <w:b/>
          <w:sz w:val="22"/>
        </w:rPr>
        <w:t>Orlando</w:t>
      </w:r>
      <w:r>
        <w:rPr>
          <w:rFonts w:ascii="Arial" w:hAnsi="Arial" w:eastAsia="宋体" w:cs="Arial"/>
          <w:b/>
          <w:sz w:val="22"/>
        </w:rPr>
        <w:t xml:space="preserve">, </w:t>
      </w:r>
      <w:r>
        <w:rPr>
          <w:rFonts w:hint="eastAsia" w:ascii="Arial" w:hAnsi="Arial" w:eastAsia="宋体" w:cs="Arial"/>
          <w:b/>
          <w:sz w:val="22"/>
        </w:rPr>
        <w:t>US</w:t>
      </w:r>
      <w:r>
        <w:rPr>
          <w:rFonts w:ascii="Arial" w:hAnsi="Arial" w:eastAsia="宋体" w:cs="Arial"/>
          <w:b/>
          <w:sz w:val="22"/>
        </w:rPr>
        <w:t xml:space="preserve">, </w:t>
      </w:r>
      <w:r>
        <w:rPr>
          <w:rFonts w:hint="eastAsia" w:ascii="Arial" w:hAnsi="Arial" w:eastAsia="宋体" w:cs="Arial"/>
          <w:b/>
          <w:sz w:val="22"/>
        </w:rPr>
        <w:t xml:space="preserve">November </w:t>
      </w:r>
      <w:r>
        <w:rPr>
          <w:rFonts w:ascii="Arial" w:hAnsi="Arial" w:eastAsia="宋体" w:cs="Arial"/>
          <w:b/>
          <w:sz w:val="22"/>
        </w:rPr>
        <w:t>1</w:t>
      </w:r>
      <w:r>
        <w:rPr>
          <w:rFonts w:hint="eastAsia" w:ascii="Arial" w:hAnsi="Arial" w:eastAsia="宋体" w:cs="Arial"/>
          <w:b/>
          <w:sz w:val="22"/>
        </w:rPr>
        <w:t>8</w:t>
      </w:r>
      <w:r>
        <w:rPr>
          <w:rFonts w:ascii="Arial" w:hAnsi="Arial" w:eastAsia="宋体" w:cs="Arial"/>
          <w:b/>
          <w:sz w:val="22"/>
          <w:vertAlign w:val="superscript"/>
        </w:rPr>
        <w:t>th</w:t>
      </w:r>
      <w:r>
        <w:rPr>
          <w:rFonts w:ascii="Arial" w:hAnsi="Arial" w:eastAsia="MS Mincho" w:cs="Arial"/>
          <w:b/>
          <w:sz w:val="22"/>
          <w:lang w:eastAsia="ja-JP"/>
        </w:rPr>
        <w:t xml:space="preserve"> –</w:t>
      </w:r>
      <w:r>
        <w:rPr>
          <w:rFonts w:ascii="Arial" w:hAnsi="Arial" w:eastAsia="MS Mincho" w:cs="Arial"/>
          <w:b/>
          <w:sz w:val="22"/>
          <w:lang w:eastAsia="en-US"/>
        </w:rPr>
        <w:t xml:space="preserve"> </w:t>
      </w:r>
      <w:r>
        <w:rPr>
          <w:rFonts w:hint="eastAsia" w:ascii="Arial" w:hAnsi="Arial" w:eastAsia="宋体" w:cs="Arial"/>
          <w:b/>
          <w:sz w:val="22"/>
        </w:rPr>
        <w:t>22</w:t>
      </w:r>
      <w:r>
        <w:rPr>
          <w:rFonts w:hint="eastAsia" w:ascii="Arial" w:hAnsi="Arial" w:eastAsia="宋体" w:cs="Arial"/>
          <w:b/>
          <w:sz w:val="22"/>
          <w:vertAlign w:val="superscript"/>
        </w:rPr>
        <w:t>nd</w:t>
      </w:r>
      <w:r>
        <w:rPr>
          <w:rFonts w:ascii="Arial" w:hAnsi="Arial" w:eastAsia="MS Mincho" w:cs="Arial"/>
          <w:b/>
          <w:sz w:val="22"/>
          <w:lang w:eastAsia="ja-JP"/>
        </w:rPr>
        <w:t>, 20</w:t>
      </w:r>
      <w:r>
        <w:rPr>
          <w:rFonts w:ascii="Arial" w:hAnsi="Arial" w:eastAsia="宋体" w:cs="Arial"/>
          <w:b/>
          <w:sz w:val="22"/>
        </w:rPr>
        <w:t>24</w:t>
      </w:r>
    </w:p>
    <w:p>
      <w:pPr>
        <w:pStyle w:val="24"/>
        <w:tabs>
          <w:tab w:val="left" w:pos="1805"/>
          <w:tab w:val="clear" w:pos="4536"/>
        </w:tabs>
        <w:spacing w:before="0" w:beforeLines="0" w:after="0" w:afterLines="0"/>
        <w:ind w:left="1803" w:hanging="1803"/>
        <w:rPr>
          <w:rFonts w:cs="Arial"/>
          <w:sz w:val="22"/>
          <w:szCs w:val="22"/>
          <w:lang w:eastAsia="zh-CN"/>
        </w:rPr>
      </w:pPr>
    </w:p>
    <w:p>
      <w:pPr>
        <w:pStyle w:val="24"/>
        <w:tabs>
          <w:tab w:val="left" w:pos="1805"/>
          <w:tab w:val="clear" w:pos="4536"/>
        </w:tabs>
        <w:spacing w:before="0" w:beforeLines="0" w:after="0" w:afterLines="0"/>
        <w:ind w:left="1803" w:hanging="1803"/>
        <w:jc w:val="left"/>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 Corporation, Sanechips, China Telecom</w:t>
      </w:r>
    </w:p>
    <w:p>
      <w:pPr>
        <w:pStyle w:val="24"/>
        <w:tabs>
          <w:tab w:val="left" w:pos="1800"/>
        </w:tabs>
        <w:spacing w:before="0" w:beforeLines="0" w:after="0" w:afterLines="0"/>
        <w:ind w:left="1840" w:hanging="1833" w:hangingChars="833"/>
        <w:jc w:val="left"/>
        <w:rPr>
          <w:rFonts w:eastAsia="宋体" w:cs="Arial"/>
          <w:sz w:val="22"/>
          <w:szCs w:val="22"/>
          <w:lang w:eastAsia="zh-CN"/>
        </w:rPr>
      </w:pPr>
      <w:r>
        <w:rPr>
          <w:rFonts w:cs="Arial"/>
          <w:sz w:val="22"/>
          <w:szCs w:val="22"/>
          <w:lang w:eastAsia="zh-CN"/>
        </w:rPr>
        <w:t>Title:</w:t>
      </w:r>
      <w:r>
        <w:rPr>
          <w:rFonts w:hint="eastAsia" w:cs="Arial"/>
          <w:sz w:val="22"/>
          <w:szCs w:val="22"/>
          <w:lang w:eastAsia="zh-CN"/>
        </w:rPr>
        <w:tab/>
      </w:r>
      <w:r>
        <w:rPr>
          <w:rFonts w:hint="eastAsia" w:cs="Arial"/>
          <w:sz w:val="22"/>
          <w:szCs w:val="22"/>
          <w:lang w:eastAsia="zh-CN"/>
        </w:rPr>
        <w:tab/>
      </w:r>
      <w:r>
        <w:rPr>
          <w:rFonts w:eastAsia="宋体" w:cs="Arial"/>
          <w:bCs/>
          <w:sz w:val="22"/>
          <w:szCs w:val="22"/>
          <w:lang w:eastAsia="zh-CN"/>
        </w:rPr>
        <w:t>Discussion on e</w:t>
      </w:r>
      <w:r>
        <w:rPr>
          <w:rFonts w:eastAsia="宋体" w:cs="Arial"/>
          <w:sz w:val="22"/>
          <w:szCs w:val="22"/>
        </w:rPr>
        <w:t>nhancement</w:t>
      </w:r>
      <w:r>
        <w:rPr>
          <w:rFonts w:eastAsia="宋体" w:cs="Arial"/>
          <w:sz w:val="22"/>
          <w:szCs w:val="22"/>
          <w:lang w:eastAsia="zh-CN"/>
        </w:rPr>
        <w:t>s</w:t>
      </w:r>
      <w:r>
        <w:rPr>
          <w:rFonts w:eastAsia="宋体" w:cs="Arial"/>
          <w:sz w:val="22"/>
          <w:szCs w:val="22"/>
        </w:rPr>
        <w:t xml:space="preserve"> </w:t>
      </w:r>
      <w:r>
        <w:rPr>
          <w:rFonts w:eastAsia="宋体" w:cs="Arial"/>
          <w:sz w:val="22"/>
          <w:szCs w:val="22"/>
          <w:lang w:eastAsia="zh-CN"/>
        </w:rPr>
        <w:t xml:space="preserve">for </w:t>
      </w:r>
      <w:r>
        <w:rPr>
          <w:rFonts w:eastAsia="宋体" w:cs="Arial"/>
          <w:sz w:val="22"/>
          <w:szCs w:val="22"/>
        </w:rPr>
        <w:t>asymmetric DL sTRP</w:t>
      </w:r>
      <w:r>
        <w:rPr>
          <w:rFonts w:eastAsia="宋体" w:cs="Arial"/>
          <w:sz w:val="22"/>
          <w:szCs w:val="22"/>
          <w:lang w:eastAsia="zh-CN"/>
        </w:rPr>
        <w:t>/</w:t>
      </w:r>
      <w:r>
        <w:rPr>
          <w:rFonts w:eastAsia="宋体" w:cs="Arial"/>
          <w:sz w:val="22"/>
          <w:szCs w:val="22"/>
        </w:rPr>
        <w:t>UL mTRP scenarios</w:t>
      </w:r>
    </w:p>
    <w:p>
      <w:pPr>
        <w:pStyle w:val="24"/>
        <w:tabs>
          <w:tab w:val="left" w:pos="1800"/>
        </w:tabs>
        <w:spacing w:before="0" w:beforeLines="0" w:after="0" w:afterLines="0"/>
        <w:jc w:val="left"/>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eastAsia="宋体" w:cs="Arial"/>
          <w:bCs/>
          <w:sz w:val="22"/>
          <w:szCs w:val="22"/>
          <w:lang w:eastAsia="zh-CN"/>
        </w:rPr>
        <w:t>9.2.4</w:t>
      </w:r>
    </w:p>
    <w:p>
      <w:pPr>
        <w:pBdr>
          <w:bottom w:val="single" w:color="auto" w:sz="6" w:space="1"/>
        </w:pBdr>
        <w:adjustRightInd w:val="0"/>
        <w:spacing w:beforeAutospacing="0" w:after="0" w:afterLines="0" w:line="264" w:lineRule="auto"/>
        <w:ind w:left="1803" w:hanging="1803"/>
        <w:rPr>
          <w:rFonts w:ascii="Arial" w:hAnsi="Arial" w:cs="Arial"/>
          <w:b/>
          <w:sz w:val="22"/>
          <w:lang w:eastAsia="ja-JP"/>
        </w:rPr>
      </w:pPr>
      <w:r>
        <w:rPr>
          <w:rFonts w:ascii="Arial" w:hAnsi="Arial" w:eastAsia="MS Mincho" w:cs="Arial"/>
          <w:b/>
          <w:sz w:val="22"/>
          <w:lang w:eastAsia="en-US"/>
        </w:rPr>
        <w:t>Document for:</w:t>
      </w:r>
      <w:r>
        <w:rPr>
          <w:rFonts w:ascii="Arial" w:hAnsi="Arial" w:cs="Arial"/>
          <w:b/>
          <w:sz w:val="22"/>
          <w:lang w:eastAsia="ja-JP"/>
        </w:rPr>
        <w:tab/>
      </w:r>
      <w:r>
        <w:rPr>
          <w:rFonts w:ascii="Arial" w:hAnsi="Arial" w:eastAsia="MS Mincho" w:cs="Arial"/>
          <w:b/>
          <w:sz w:val="22"/>
          <w:lang w:eastAsia="ja-JP"/>
        </w:rPr>
        <w:t>Discussion and Decision</w:t>
      </w:r>
    </w:p>
    <w:p>
      <w:pPr>
        <w:pStyle w:val="2"/>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adjustRightInd w:val="0"/>
        <w:spacing w:before="180" w:beforeLines="50" w:beforeAutospacing="0" w:after="180"/>
        <w:jc w:val="both"/>
        <w:rPr>
          <w:rFonts w:eastAsia="宋体"/>
          <w:szCs w:val="20"/>
        </w:rPr>
      </w:pPr>
      <w:r>
        <w:rPr>
          <w:szCs w:val="20"/>
        </w:rPr>
        <w:t>In RAN#</w:t>
      </w:r>
      <w:r>
        <w:rPr>
          <w:rFonts w:eastAsia="宋体"/>
          <w:szCs w:val="20"/>
        </w:rPr>
        <w:t>105</w:t>
      </w:r>
      <w:r>
        <w:rPr>
          <w:szCs w:val="20"/>
        </w:rPr>
        <w:t xml:space="preserve"> meeting, a </w:t>
      </w:r>
      <w:r>
        <w:rPr>
          <w:rFonts w:eastAsia="宋体"/>
          <w:szCs w:val="20"/>
        </w:rPr>
        <w:t>revision of WID</w:t>
      </w:r>
      <w:r>
        <w:rPr>
          <w:szCs w:val="20"/>
        </w:rPr>
        <w:t xml:space="preserve"> on MIMO evolution </w:t>
      </w:r>
      <w:r>
        <w:rPr>
          <w:rFonts w:eastAsia="宋体"/>
          <w:szCs w:val="20"/>
        </w:rPr>
        <w:t>in phase 5</w:t>
      </w:r>
      <w:r>
        <w:rPr>
          <w:szCs w:val="20"/>
        </w:rPr>
        <w:t xml:space="preserve"> </w:t>
      </w:r>
      <w:r>
        <w:rPr>
          <w:rFonts w:eastAsia="宋体"/>
          <w:szCs w:val="20"/>
        </w:rPr>
        <w:t>was</w:t>
      </w:r>
      <w:r>
        <w:rPr>
          <w:szCs w:val="20"/>
        </w:rPr>
        <w:t xml:space="preserve"> approved in [1]. As shown in below, </w:t>
      </w:r>
      <w:r>
        <w:rPr>
          <w:lang w:eastAsia="en-US"/>
        </w:rPr>
        <w:t>for asymmetric DL sTRP/UL mTRP deployment scenarios</w:t>
      </w:r>
      <w:r>
        <w:rPr>
          <w:rFonts w:eastAsia="宋体"/>
        </w:rPr>
        <w:t xml:space="preserve">, </w:t>
      </w:r>
      <w:r>
        <w:rPr>
          <w:rFonts w:eastAsia="宋体"/>
          <w:szCs w:val="20"/>
        </w:rPr>
        <w:t>two TAs for UL transmissions was approved to be specified in addition to two closed-loop PC adjustment states for SRS and pathloss offset configurations for pathloss calculation to UL TRP(s).</w:t>
      </w:r>
      <w:bookmarkStart w:id="17" w:name="_GoBack"/>
      <w:bookmarkEnd w:id="17"/>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7"/>
              </w:numPr>
              <w:adjustRightInd w:val="0"/>
              <w:spacing w:beforeAutospacing="0" w:after="0" w:afterLines="0" w:line="288" w:lineRule="auto"/>
              <w:jc w:val="both"/>
              <w:rPr>
                <w:lang w:eastAsia="en-US"/>
              </w:rPr>
            </w:pPr>
            <w:r>
              <w:rPr>
                <w:lang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Pr>
                <w:sz w:val="24"/>
                <w:lang w:eastAsia="en-US"/>
              </w:rPr>
              <w:t xml:space="preserve"> </w:t>
            </w:r>
            <w:r>
              <w:rPr>
                <w:lang w:eastAsia="en-US"/>
              </w:rPr>
              <w:t xml:space="preserve">and fully reusing the legacy QCL/UL spatial relation rules, targeting FR1 and FR2 </w:t>
            </w:r>
          </w:p>
          <w:p>
            <w:pPr>
              <w:numPr>
                <w:ilvl w:val="1"/>
                <w:numId w:val="7"/>
              </w:numPr>
              <w:adjustRightInd w:val="0"/>
              <w:spacing w:beforeAutospacing="0" w:after="0" w:afterLines="0" w:line="288" w:lineRule="auto"/>
              <w:jc w:val="both"/>
              <w:rPr>
                <w:lang w:eastAsia="en-US"/>
              </w:rPr>
            </w:pPr>
            <w:r>
              <w:rPr>
                <w:lang w:eastAsia="en-US"/>
              </w:rPr>
              <w:t xml:space="preserve">Two closed-loop PC adjustment states for SRS, both separate from PUSCH; and pathloss offset configurations for pathloss calculation to UL TRP(s), when the pathloss RS is from DL sTRP. </w:t>
            </w:r>
          </w:p>
          <w:p>
            <w:pPr>
              <w:numPr>
                <w:ilvl w:val="1"/>
                <w:numId w:val="7"/>
              </w:numPr>
              <w:adjustRightInd w:val="0"/>
              <w:spacing w:beforeAutospacing="0" w:after="0" w:afterLines="0" w:line="288" w:lineRule="auto"/>
              <w:jc w:val="both"/>
              <w:rPr>
                <w:szCs w:val="20"/>
              </w:rPr>
            </w:pPr>
            <w:r>
              <w:rPr>
                <w:lang w:val="en-GB" w:eastAsia="en-US"/>
              </w:rPr>
              <w:t>Two TAs through reusing Rel-18 specification of two TAs for multi-DCI-based multi-TRP and removing the restriction that </w:t>
            </w:r>
            <w:r>
              <w:rPr>
                <w:i/>
                <w:iCs/>
                <w:lang w:val="en-GB" w:eastAsia="en-US"/>
              </w:rPr>
              <w:t xml:space="preserve">coresetPoolIndex </w:t>
            </w:r>
            <w:r>
              <w:rPr>
                <w:lang w:val="en-GB" w:eastAsia="en-US"/>
              </w:rPr>
              <w:t>needs to be configured, assuming legacy PRACH resources</w:t>
            </w:r>
            <w:r>
              <w:rPr>
                <w:szCs w:val="20"/>
                <w:lang w:eastAsia="en-US"/>
              </w:rPr>
              <w:t xml:space="preserve"> </w:t>
            </w:r>
          </w:p>
        </w:tc>
      </w:tr>
    </w:tbl>
    <w:p>
      <w:pPr>
        <w:adjustRightInd w:val="0"/>
        <w:spacing w:before="180" w:beforeLines="50" w:beforeAutospacing="0" w:after="180"/>
        <w:jc w:val="both"/>
        <w:rPr>
          <w:szCs w:val="20"/>
        </w:rPr>
      </w:pPr>
      <w:r>
        <w:rPr>
          <w:szCs w:val="20"/>
        </w:rPr>
        <w:t xml:space="preserve">In this contribution, we present our views </w:t>
      </w:r>
      <w:r>
        <w:rPr>
          <w:rFonts w:eastAsia="宋体"/>
          <w:szCs w:val="20"/>
        </w:rPr>
        <w:t xml:space="preserve">of the </w:t>
      </w:r>
      <w:r>
        <w:rPr>
          <w:szCs w:val="20"/>
        </w:rPr>
        <w:t>enhancement</w:t>
      </w:r>
      <w:r>
        <w:rPr>
          <w:rFonts w:eastAsia="宋体"/>
          <w:szCs w:val="20"/>
        </w:rPr>
        <w:t>s</w:t>
      </w:r>
      <w:r>
        <w:rPr>
          <w:szCs w:val="20"/>
        </w:rPr>
        <w:t xml:space="preserve"> </w:t>
      </w:r>
      <w:r>
        <w:rPr>
          <w:rFonts w:eastAsia="宋体"/>
          <w:szCs w:val="20"/>
        </w:rPr>
        <w:t>for asymmetric DL sTRP/UL</w:t>
      </w:r>
      <w:r>
        <w:rPr>
          <w:szCs w:val="20"/>
        </w:rPr>
        <w:t xml:space="preserve"> </w:t>
      </w:r>
      <w:r>
        <w:rPr>
          <w:rFonts w:eastAsia="宋体"/>
          <w:szCs w:val="20"/>
        </w:rPr>
        <w:t>mTRP scenarios</w:t>
      </w:r>
      <w:r>
        <w:rPr>
          <w:szCs w:val="20"/>
        </w:rPr>
        <w:t>.</w:t>
      </w:r>
    </w:p>
    <w:p>
      <w:pPr>
        <w:pStyle w:val="2"/>
        <w:keepNext/>
        <w:tabs>
          <w:tab w:val="left" w:pos="3686"/>
          <w:tab w:val="left" w:pos="4536"/>
        </w:tabs>
        <w:spacing w:before="360" w:beforeLines="100" w:after="180" w:line="240" w:lineRule="auto"/>
        <w:textAlignment w:val="baseline"/>
        <w:rPr>
          <w:lang w:val="en-US"/>
        </w:rPr>
      </w:pPr>
      <w:r>
        <w:rPr>
          <w:lang w:val="en-US"/>
        </w:rPr>
        <w:t>Pathloss offset</w:t>
      </w:r>
    </w:p>
    <w:p>
      <w:pPr>
        <w:adjustRightInd w:val="0"/>
        <w:spacing w:before="180" w:beforeLines="50" w:beforeAutospacing="0" w:after="180"/>
        <w:jc w:val="both"/>
        <w:rPr>
          <w:rFonts w:eastAsia="宋体"/>
          <w:szCs w:val="20"/>
        </w:rPr>
      </w:pPr>
      <w:r>
        <w:rPr>
          <w:rFonts w:eastAsia="宋体"/>
          <w:szCs w:val="20"/>
        </w:rPr>
        <w:t>In RAN1#118bis meeting, the following agreements were reached for the issue of pathloss offset related enhancement [2].</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adjustRightInd w:val="0"/>
              <w:spacing w:beforeAutospacing="0" w:after="0" w:afterLines="0"/>
              <w:rPr>
                <w:rFonts w:eastAsia="Batang"/>
                <w:b/>
                <w:bCs/>
                <w:u w:val="single"/>
                <w:lang w:val="en-GB"/>
              </w:rPr>
            </w:pPr>
            <w:r>
              <w:rPr>
                <w:rFonts w:eastAsia="Batang"/>
                <w:b/>
                <w:bCs/>
                <w:u w:val="single"/>
                <w:lang w:val="en-GB"/>
              </w:rPr>
              <w:t>Agreement</w:t>
            </w:r>
          </w:p>
          <w:p>
            <w:pPr>
              <w:adjustRightInd w:val="0"/>
              <w:spacing w:beforeAutospacing="0" w:after="0" w:afterLines="0"/>
              <w:rPr>
                <w:rFonts w:eastAsia="Malgun Gothic"/>
                <w:szCs w:val="22"/>
                <w:lang w:val="en-GB"/>
              </w:rPr>
            </w:pPr>
            <w:r>
              <w:rPr>
                <w:rFonts w:eastAsia="Malgun Gothic"/>
                <w:szCs w:val="22"/>
                <w:lang w:val="en-GB"/>
              </w:rPr>
              <w:t>The lower limit of the value range of PL offset is extended to -12 dB</w:t>
            </w:r>
          </w:p>
          <w:p>
            <w:pPr>
              <w:adjustRightInd w:val="0"/>
              <w:spacing w:beforeAutospacing="0" w:after="0" w:afterLines="0"/>
              <w:rPr>
                <w:rFonts w:eastAsia="Malgun Gothic"/>
                <w:szCs w:val="22"/>
                <w:lang w:val="en-GB"/>
              </w:rPr>
            </w:pPr>
          </w:p>
          <w:p>
            <w:pPr>
              <w:adjustRightInd w:val="0"/>
              <w:spacing w:beforeAutospacing="0" w:after="0" w:afterLines="0"/>
              <w:rPr>
                <w:rFonts w:eastAsia="Batang"/>
                <w:b/>
                <w:bCs/>
                <w:u w:val="single"/>
                <w:lang w:val="en-GB"/>
              </w:rPr>
            </w:pPr>
            <w:r>
              <w:rPr>
                <w:rFonts w:eastAsia="Batang"/>
                <w:b/>
                <w:bCs/>
                <w:u w:val="single"/>
                <w:lang w:val="en-GB"/>
              </w:rPr>
              <w:t>Agreement</w:t>
            </w:r>
          </w:p>
          <w:p>
            <w:pPr>
              <w:adjustRightInd w:val="0"/>
              <w:spacing w:beforeAutospacing="0" w:after="0" w:afterLines="0"/>
              <w:rPr>
                <w:rFonts w:eastAsia="等线"/>
                <w:szCs w:val="20"/>
                <w:lang w:val="en-GB" w:eastAsia="en-US"/>
              </w:rPr>
            </w:pPr>
            <w:r>
              <w:rPr>
                <w:rFonts w:eastAsia="等线"/>
                <w:szCs w:val="20"/>
                <w:lang w:val="en-GB" w:eastAsia="en-US"/>
              </w:rPr>
              <w:t>For indicating PL offset for PDCCH-order PRACH, introduce a new 1-bit DCI field in DCI format 1_0:</w:t>
            </w:r>
          </w:p>
          <w:p>
            <w:pPr>
              <w:numPr>
                <w:ilvl w:val="0"/>
                <w:numId w:val="8"/>
              </w:numPr>
              <w:adjustRightInd w:val="0"/>
              <w:spacing w:beforeAutospacing="0" w:after="0" w:afterLines="0"/>
              <w:jc w:val="both"/>
              <w:rPr>
                <w:rFonts w:eastAsia="等线"/>
                <w:szCs w:val="20"/>
                <w:lang w:val="en-GB" w:eastAsia="en-US"/>
              </w:rPr>
            </w:pPr>
            <w:r>
              <w:rPr>
                <w:rFonts w:eastAsia="等线"/>
                <w:szCs w:val="20"/>
                <w:lang w:val="en-GB" w:eastAsia="en-US"/>
              </w:rPr>
              <w:t>This DCI field exists when the corresponding RRC parameter (which is a new RRC used to configure the presence of this 1-bit DCI field) is enabled and at least one TCI state is configured with PL offset.</w:t>
            </w:r>
          </w:p>
          <w:p>
            <w:pPr>
              <w:numPr>
                <w:ilvl w:val="0"/>
                <w:numId w:val="8"/>
              </w:numPr>
              <w:adjustRightInd w:val="0"/>
              <w:spacing w:beforeAutospacing="0" w:after="0" w:afterLines="0"/>
              <w:jc w:val="both"/>
              <w:rPr>
                <w:rFonts w:eastAsia="等线"/>
                <w:szCs w:val="20"/>
                <w:lang w:val="en-GB" w:eastAsia="en-US"/>
              </w:rPr>
            </w:pPr>
            <w:r>
              <w:rPr>
                <w:rFonts w:eastAsia="等线"/>
                <w:szCs w:val="20"/>
                <w:lang w:val="en-GB" w:eastAsia="en-US"/>
              </w:rPr>
              <w:t xml:space="preserve">When one joint/UL TCI state is indicated in Rel-17 unified TCI, </w:t>
            </w:r>
          </w:p>
          <w:p>
            <w:pPr>
              <w:numPr>
                <w:ilvl w:val="1"/>
                <w:numId w:val="8"/>
              </w:numPr>
              <w:adjustRightInd w:val="0"/>
              <w:spacing w:beforeAutospacing="0" w:after="0" w:afterLines="0"/>
              <w:jc w:val="both"/>
              <w:rPr>
                <w:rFonts w:eastAsia="等线"/>
                <w:szCs w:val="20"/>
                <w:lang w:val="en-GB" w:eastAsia="en-US"/>
              </w:rPr>
            </w:pPr>
            <w:r>
              <w:rPr>
                <w:rFonts w:eastAsia="等线"/>
                <w:szCs w:val="20"/>
                <w:lang w:val="en-GB" w:eastAsia="en-US"/>
              </w:rPr>
              <w:t xml:space="preserve">the bit field index 0 of this field indicates that PL offset is not included in the PRACH transmission power calculation </w:t>
            </w:r>
          </w:p>
          <w:p>
            <w:pPr>
              <w:numPr>
                <w:ilvl w:val="1"/>
                <w:numId w:val="8"/>
              </w:numPr>
              <w:adjustRightInd w:val="0"/>
              <w:spacing w:beforeAutospacing="0" w:after="0" w:afterLines="0"/>
              <w:jc w:val="both"/>
              <w:rPr>
                <w:rFonts w:eastAsia="等线"/>
                <w:szCs w:val="20"/>
                <w:lang w:val="en-GB" w:eastAsia="en-US"/>
              </w:rPr>
            </w:pPr>
            <w:r>
              <w:rPr>
                <w:rFonts w:eastAsia="等线"/>
                <w:szCs w:val="20"/>
                <w:lang w:val="en-GB" w:eastAsia="en-US"/>
              </w:rPr>
              <w:t>the bit field index 1 of this field indicates that the PL offset associated with the indicated TCI state is included in the PRACH transmission power.</w:t>
            </w:r>
          </w:p>
          <w:p>
            <w:pPr>
              <w:numPr>
                <w:ilvl w:val="0"/>
                <w:numId w:val="8"/>
              </w:numPr>
              <w:adjustRightInd w:val="0"/>
              <w:spacing w:beforeAutospacing="0" w:after="0" w:afterLines="0"/>
              <w:jc w:val="both"/>
              <w:rPr>
                <w:rFonts w:eastAsia="Batang"/>
                <w:lang w:val="en-GB"/>
              </w:rPr>
            </w:pPr>
            <w:r>
              <w:rPr>
                <w:rFonts w:eastAsia="等线"/>
                <w:szCs w:val="20"/>
                <w:lang w:val="en-GB"/>
              </w:rPr>
              <w:t>FFS: Whether the bit field can be used to indicate other information</w:t>
            </w:r>
          </w:p>
          <w:p>
            <w:pPr>
              <w:numPr>
                <w:ilvl w:val="0"/>
                <w:numId w:val="8"/>
              </w:numPr>
              <w:adjustRightInd w:val="0"/>
              <w:spacing w:beforeAutospacing="0" w:after="0" w:afterLines="0"/>
              <w:jc w:val="both"/>
              <w:rPr>
                <w:rFonts w:eastAsia="Batang"/>
                <w:lang w:val="en-GB"/>
              </w:rPr>
            </w:pPr>
            <w:r>
              <w:rPr>
                <w:rFonts w:eastAsia="等线"/>
                <w:szCs w:val="20"/>
                <w:lang w:val="en-GB"/>
              </w:rPr>
              <w:t>FFS: When two joint/UL TCI states are indicated in Rel-18 unified TCI</w:t>
            </w:r>
          </w:p>
          <w:p>
            <w:pPr>
              <w:adjustRightInd w:val="0"/>
              <w:spacing w:beforeAutospacing="0" w:after="0" w:afterLines="0"/>
              <w:rPr>
                <w:rFonts w:eastAsia="Batang"/>
                <w:lang w:val="en-GB" w:eastAsia="en-US"/>
              </w:rPr>
            </w:pPr>
          </w:p>
          <w:p>
            <w:pPr>
              <w:adjustRightInd w:val="0"/>
              <w:spacing w:beforeAutospacing="0" w:after="0" w:afterLines="0"/>
              <w:rPr>
                <w:rFonts w:eastAsia="Batang"/>
                <w:b/>
                <w:bCs/>
                <w:u w:val="single"/>
                <w:lang w:val="en-GB"/>
              </w:rPr>
            </w:pPr>
            <w:r>
              <w:rPr>
                <w:rFonts w:eastAsia="Batang"/>
                <w:b/>
                <w:bCs/>
                <w:u w:val="single"/>
                <w:lang w:val="en-GB"/>
              </w:rPr>
              <w:t>Agreement</w:t>
            </w:r>
          </w:p>
          <w:p>
            <w:pPr>
              <w:adjustRightInd w:val="0"/>
              <w:spacing w:beforeAutospacing="0" w:after="0" w:afterLines="0"/>
              <w:rPr>
                <w:rFonts w:eastAsia="等线"/>
                <w:szCs w:val="20"/>
                <w:lang w:val="en-GB" w:eastAsia="en-US"/>
              </w:rPr>
            </w:pPr>
            <w:r>
              <w:rPr>
                <w:rFonts w:eastAsia="等线"/>
                <w:szCs w:val="20"/>
                <w:lang w:val="en-GB" w:eastAsia="en-US"/>
              </w:rPr>
              <w:t>For indicating PL offset for PDCCH-order PRACH, when two joint/UL TCI states are indicated in Rel-18 unified TCI, down-select one from the following Alts for the 1-bit DCI field in DCI 1_0 which indicates the application of PL offset on PRACH transmission:</w:t>
            </w:r>
          </w:p>
          <w:p>
            <w:pPr>
              <w:numPr>
                <w:ilvl w:val="0"/>
                <w:numId w:val="8"/>
              </w:numPr>
              <w:adjustRightInd w:val="0"/>
              <w:spacing w:beforeAutospacing="0" w:after="0" w:afterLines="0"/>
              <w:jc w:val="both"/>
              <w:rPr>
                <w:rFonts w:eastAsia="等线"/>
                <w:szCs w:val="20"/>
                <w:lang w:val="en-GB"/>
              </w:rPr>
            </w:pPr>
            <w:r>
              <w:rPr>
                <w:rFonts w:eastAsia="等线"/>
                <w:szCs w:val="20"/>
                <w:lang w:val="en-GB"/>
              </w:rPr>
              <w:t>Alt2:</w:t>
            </w:r>
          </w:p>
          <w:p>
            <w:pPr>
              <w:numPr>
                <w:ilvl w:val="1"/>
                <w:numId w:val="8"/>
              </w:numPr>
              <w:adjustRightInd w:val="0"/>
              <w:spacing w:beforeAutospacing="0" w:after="0" w:afterLines="0"/>
              <w:jc w:val="both"/>
              <w:rPr>
                <w:rFonts w:eastAsia="等线"/>
                <w:szCs w:val="20"/>
                <w:lang w:val="en-GB" w:eastAsia="en-US"/>
              </w:rPr>
            </w:pPr>
            <w:r>
              <w:rPr>
                <w:rFonts w:eastAsia="等线"/>
                <w:szCs w:val="20"/>
                <w:lang w:val="en-GB" w:eastAsia="en-US"/>
              </w:rPr>
              <w:t xml:space="preserve">the bit field index 0 of this field indicates that the PL offset associated in the first indicated joint/UL TCI state is included in the PRACH transmission power calculation </w:t>
            </w:r>
          </w:p>
          <w:p>
            <w:pPr>
              <w:numPr>
                <w:ilvl w:val="1"/>
                <w:numId w:val="8"/>
              </w:numPr>
              <w:adjustRightInd w:val="0"/>
              <w:spacing w:beforeAutospacing="0" w:after="0" w:afterLines="0"/>
              <w:jc w:val="both"/>
              <w:rPr>
                <w:rFonts w:eastAsia="等线"/>
                <w:szCs w:val="20"/>
                <w:lang w:val="en-GB" w:eastAsia="en-US"/>
              </w:rPr>
            </w:pPr>
            <w:r>
              <w:rPr>
                <w:rFonts w:eastAsia="等线"/>
                <w:szCs w:val="20"/>
                <w:lang w:val="en-GB" w:eastAsia="en-US"/>
              </w:rPr>
              <w:t>the bit field index 1 of this field indicates that the PL offset associated in the second indicated joint/UL TCI state is included in the PRACH transmission power calculation.</w:t>
            </w:r>
          </w:p>
          <w:p>
            <w:pPr>
              <w:numPr>
                <w:ilvl w:val="1"/>
                <w:numId w:val="8"/>
              </w:numPr>
              <w:adjustRightInd w:val="0"/>
              <w:spacing w:beforeAutospacing="0" w:after="0" w:afterLines="0"/>
              <w:jc w:val="both"/>
              <w:rPr>
                <w:rFonts w:eastAsia="等线"/>
                <w:szCs w:val="20"/>
                <w:lang w:val="en-GB" w:eastAsia="en-US"/>
              </w:rPr>
            </w:pPr>
            <w:r>
              <w:rPr>
                <w:rFonts w:eastAsia="等线"/>
                <w:szCs w:val="20"/>
                <w:lang w:val="en-GB" w:eastAsia="en-US"/>
              </w:rPr>
              <w:t>FFS: Whether a restriction that only one of the indicated joint/UL TCI states can be configured with PL offset is needed.</w:t>
            </w:r>
          </w:p>
          <w:p>
            <w:pPr>
              <w:adjustRightInd w:val="0"/>
              <w:spacing w:beforeAutospacing="0" w:after="0" w:afterLines="0"/>
              <w:rPr>
                <w:rFonts w:eastAsia="等线"/>
                <w:szCs w:val="20"/>
                <w:lang w:val="en-GB"/>
              </w:rPr>
            </w:pPr>
            <w:r>
              <w:rPr>
                <w:rFonts w:eastAsia="等线"/>
                <w:szCs w:val="20"/>
                <w:lang w:val="en-GB" w:eastAsia="en-US"/>
              </w:rPr>
              <w:t>FFS: If other information can be indicated by this same 1-bit DCI field for the PDCCH-order PRACH transmission</w:t>
            </w:r>
          </w:p>
        </w:tc>
      </w:tr>
    </w:tbl>
    <w:p>
      <w:pPr>
        <w:adjustRightInd w:val="0"/>
        <w:spacing w:before="180" w:beforeLines="50" w:beforeAutospacing="0" w:after="180"/>
        <w:jc w:val="both"/>
        <w:rPr>
          <w:rFonts w:eastAsia="宋体"/>
          <w:szCs w:val="20"/>
          <w:lang w:val="en-GB"/>
        </w:rPr>
      </w:pPr>
      <w:r>
        <w:rPr>
          <w:rFonts w:eastAsia="宋体"/>
          <w:szCs w:val="20"/>
          <w:lang w:val="en-GB"/>
        </w:rPr>
        <w:t xml:space="preserve">Regarding Type 3 PHR reported in the UL carrier for the serving cell where PUSCH transmission is configured, it is critical to be supported for the following </w:t>
      </w:r>
      <w:r>
        <w:rPr>
          <w:rFonts w:hint="eastAsia" w:eastAsia="宋体"/>
          <w:szCs w:val="20"/>
        </w:rPr>
        <w:t xml:space="preserve">practical </w:t>
      </w:r>
      <w:r>
        <w:rPr>
          <w:rFonts w:eastAsia="宋体"/>
          <w:szCs w:val="20"/>
          <w:lang w:val="en-GB"/>
        </w:rPr>
        <w:t>use cases in asymmetric DL sTRP/UL mTRP scenarios:</w:t>
      </w:r>
    </w:p>
    <w:p>
      <w:pPr>
        <w:pStyle w:val="52"/>
        <w:numPr>
          <w:ilvl w:val="0"/>
          <w:numId w:val="9"/>
        </w:numPr>
        <w:spacing w:before="180" w:beforeLines="50" w:after="108"/>
        <w:ind w:leftChars="0"/>
        <w:rPr>
          <w:rFonts w:ascii="Times New Roman" w:hAnsi="Times New Roman" w:eastAsia="宋体"/>
          <w:szCs w:val="20"/>
        </w:rPr>
      </w:pPr>
      <w:r>
        <w:rPr>
          <w:rFonts w:ascii="Times New Roman" w:hAnsi="Times New Roman" w:eastAsia="宋体"/>
          <w:szCs w:val="20"/>
        </w:rPr>
        <w:t xml:space="preserve">Case-1: To facilitate power control for AS SRS towards to Anchor TRP for DL CSI acquisition while PUSCH may only be transmitted to UL TRP(s), as depicted in Figure 1. </w:t>
      </w:r>
    </w:p>
    <w:p>
      <w:pPr>
        <w:pStyle w:val="52"/>
        <w:numPr>
          <w:ilvl w:val="1"/>
          <w:numId w:val="9"/>
        </w:numPr>
        <w:spacing w:before="180" w:beforeLines="50" w:after="108"/>
        <w:ind w:leftChars="0"/>
        <w:rPr>
          <w:rFonts w:ascii="Times New Roman" w:hAnsi="Times New Roman" w:eastAsia="宋体"/>
          <w:szCs w:val="20"/>
        </w:rPr>
      </w:pPr>
      <w:r>
        <w:rPr>
          <w:rFonts w:ascii="Times New Roman" w:hAnsi="Times New Roman" w:eastAsia="宋体"/>
          <w:szCs w:val="20"/>
        </w:rPr>
        <w:t>In particular, this is in fact consistent with the principle of the legacy Type 3 PHR that is used for AS SRS transmitted for DL CSI acquisition in the serving cell configured with DL transmission only.</w:t>
      </w:r>
    </w:p>
    <w:p>
      <w:pPr>
        <w:adjustRightInd w:val="0"/>
        <w:spacing w:before="180" w:beforeLines="50" w:beforeAutospacing="0" w:after="180"/>
        <w:jc w:val="center"/>
        <w:rPr>
          <w:rFonts w:eastAsia="宋体"/>
          <w:sz w:val="22"/>
          <w:szCs w:val="22"/>
        </w:rPr>
      </w:pPr>
      <w:r>
        <w:rPr>
          <w:rFonts w:eastAsia="宋体"/>
          <w:sz w:val="22"/>
          <w:szCs w:val="22"/>
        </w:rPr>
        <w:drawing>
          <wp:inline distT="0" distB="0" distL="114300" distR="114300">
            <wp:extent cx="4367530" cy="1379855"/>
            <wp:effectExtent l="0" t="0" r="0" b="0"/>
            <wp:docPr id="2" name="图片 2" descr="UL TRP_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L TRP_fig1"/>
                    <pic:cNvPicPr>
                      <a:picLocks noChangeAspect="1"/>
                    </pic:cNvPicPr>
                  </pic:nvPicPr>
                  <pic:blipFill>
                    <a:blip r:embed="rId11"/>
                    <a:stretch>
                      <a:fillRect/>
                    </a:stretch>
                  </pic:blipFill>
                  <pic:spPr>
                    <a:xfrm>
                      <a:off x="0" y="0"/>
                      <a:ext cx="4367530" cy="1379855"/>
                    </a:xfrm>
                    <a:prstGeom prst="rect">
                      <a:avLst/>
                    </a:prstGeom>
                  </pic:spPr>
                </pic:pic>
              </a:graphicData>
            </a:graphic>
          </wp:inline>
        </w:drawing>
      </w:r>
    </w:p>
    <w:p>
      <w:pPr>
        <w:adjustRightInd w:val="0"/>
        <w:spacing w:after="180"/>
        <w:jc w:val="center"/>
        <w:rPr>
          <w:rFonts w:eastAsia="宋体"/>
          <w:szCs w:val="20"/>
        </w:rPr>
      </w:pPr>
      <w:r>
        <w:rPr>
          <w:rFonts w:eastAsia="宋体"/>
          <w:b/>
          <w:bCs/>
          <w:szCs w:val="20"/>
        </w:rPr>
        <w:t>Figure 1</w:t>
      </w:r>
      <w:r>
        <w:rPr>
          <w:rFonts w:eastAsia="宋体"/>
          <w:szCs w:val="20"/>
        </w:rPr>
        <w:tab/>
      </w:r>
      <w:r>
        <w:rPr>
          <w:rFonts w:eastAsia="宋体"/>
          <w:szCs w:val="20"/>
        </w:rPr>
        <w:t>Type 3 PHR for AS SRS towards to Anchor TRP for DL CSI acquisition while PUSCH is configured</w:t>
      </w:r>
    </w:p>
    <w:p>
      <w:pPr>
        <w:pStyle w:val="52"/>
        <w:numPr>
          <w:ilvl w:val="0"/>
          <w:numId w:val="9"/>
        </w:numPr>
        <w:spacing w:before="180" w:beforeLines="50" w:after="108"/>
        <w:ind w:leftChars="0"/>
        <w:rPr>
          <w:rFonts w:ascii="Times New Roman" w:hAnsi="Times New Roman" w:eastAsia="宋体"/>
          <w:szCs w:val="20"/>
        </w:rPr>
      </w:pPr>
      <w:r>
        <w:rPr>
          <w:rFonts w:ascii="Times New Roman" w:hAnsi="Times New Roman" w:eastAsia="宋体"/>
          <w:szCs w:val="20"/>
        </w:rPr>
        <w:t xml:space="preserve">Case-2: To assist PL offset estimation especially in FR2 on the CC configured with PUSCH in the asymmetric DL sTRP/UL mTRP scenario. </w:t>
      </w:r>
    </w:p>
    <w:p>
      <w:pPr>
        <w:pStyle w:val="52"/>
        <w:numPr>
          <w:ilvl w:val="1"/>
          <w:numId w:val="9"/>
        </w:numPr>
        <w:spacing w:before="180" w:beforeLines="50" w:after="108"/>
        <w:ind w:leftChars="0"/>
        <w:rPr>
          <w:rFonts w:ascii="Times New Roman" w:hAnsi="Times New Roman" w:eastAsia="宋体"/>
          <w:szCs w:val="20"/>
        </w:rPr>
      </w:pPr>
      <w:r>
        <w:rPr>
          <w:rFonts w:ascii="Times New Roman" w:hAnsi="Times New Roman" w:eastAsia="宋体"/>
          <w:szCs w:val="20"/>
        </w:rPr>
        <w:t xml:space="preserve">For example, the PL offset can be derived from SRS transmitted towards to UL TRP and Anchor TRP that associated with Type 1 PHR and Type 3 PHR, respectively. </w:t>
      </w:r>
    </w:p>
    <w:p>
      <w:pPr>
        <w:adjustRightInd w:val="0"/>
        <w:spacing w:before="180" w:beforeLines="50" w:beforeAutospacing="0" w:after="180"/>
        <w:jc w:val="both"/>
        <w:rPr>
          <w:rFonts w:eastAsia="宋体"/>
          <w:szCs w:val="20"/>
        </w:rPr>
      </w:pPr>
      <w:r>
        <w:rPr>
          <w:rFonts w:eastAsia="宋体"/>
          <w:szCs w:val="20"/>
        </w:rPr>
        <w:t>Regarding whether to take PL offset into calculation of Type 3 PHR, it seems not needed due to the lack of practical use case that Type 3 PHR for SRS is assumed to be only transmitted to Anchor TRP.</w:t>
      </w:r>
    </w:p>
    <w:p>
      <w:pPr>
        <w:adjustRightInd w:val="0"/>
        <w:spacing w:before="180" w:beforeLines="50" w:beforeAutospacing="0" w:after="0" w:afterLines="0"/>
        <w:jc w:val="both"/>
        <w:rPr>
          <w:rFonts w:eastAsia="宋体"/>
          <w:i/>
          <w:iCs/>
          <w:szCs w:val="20"/>
        </w:rPr>
      </w:pPr>
      <w:r>
        <w:rPr>
          <w:rFonts w:eastAsia="宋体"/>
          <w:b/>
          <w:bCs/>
          <w:i/>
          <w:iCs/>
          <w:szCs w:val="20"/>
        </w:rPr>
        <w:t>Proposal 1:</w:t>
      </w:r>
      <w:r>
        <w:rPr>
          <w:rFonts w:eastAsia="宋体"/>
          <w:i/>
          <w:iCs/>
          <w:szCs w:val="20"/>
        </w:rPr>
        <w:t xml:space="preserve"> </w:t>
      </w:r>
      <w:r>
        <w:rPr>
          <w:rFonts w:eastAsia="等线"/>
          <w:i/>
          <w:szCs w:val="20"/>
          <w:lang w:val="en-GB"/>
        </w:rPr>
        <w:t xml:space="preserve">Support </w:t>
      </w:r>
      <w:r>
        <w:rPr>
          <w:rFonts w:eastAsia="等线"/>
          <w:i/>
          <w:szCs w:val="20"/>
        </w:rPr>
        <w:t xml:space="preserve">that </w:t>
      </w:r>
      <w:r>
        <w:rPr>
          <w:rFonts w:eastAsia="宋体"/>
          <w:i/>
          <w:szCs w:val="20"/>
        </w:rPr>
        <w:t>Type 3 PHR can be reported in the serving cell if the UE is configured with two separate SRS CLPC adjustment states, for the case if only one UL carrier is configured in the serving cell and the UE is configured with PUSCH transmission on the UL carrier</w:t>
      </w:r>
      <w:r>
        <w:rPr>
          <w:rFonts w:eastAsia="宋体"/>
          <w:i/>
          <w:iCs/>
          <w:szCs w:val="20"/>
        </w:rPr>
        <w:t>.</w:t>
      </w:r>
    </w:p>
    <w:p>
      <w:pPr>
        <w:adjustRightInd w:val="0"/>
        <w:spacing w:before="180" w:beforeLines="50" w:beforeAutospacing="0" w:after="180"/>
        <w:jc w:val="both"/>
        <w:rPr>
          <w:rFonts w:eastAsia="宋体"/>
          <w:szCs w:val="20"/>
          <w:lang w:val="en-GB"/>
        </w:rPr>
      </w:pPr>
      <w:r>
        <w:rPr>
          <w:rFonts w:eastAsia="宋体"/>
          <w:szCs w:val="20"/>
          <w:lang w:val="en-GB"/>
        </w:rPr>
        <w:t xml:space="preserve">Given that two TAs were agreed to be specified </w:t>
      </w:r>
      <w:r>
        <w:rPr>
          <w:rFonts w:hint="eastAsia" w:eastAsia="宋体"/>
          <w:szCs w:val="20"/>
        </w:rPr>
        <w:t xml:space="preserve">for </w:t>
      </w:r>
      <w:r>
        <w:rPr>
          <w:rFonts w:eastAsia="宋体"/>
          <w:szCs w:val="20"/>
          <w:lang w:val="en-GB"/>
        </w:rPr>
        <w:t xml:space="preserve">the enhancements on asymmetric DL sTRP/UL mTRP deployment scenarios targeting both FR1 and FR2 as stated in the WID, it is natural and necessary to enable PL offset for PDCCH-order PRACH towards </w:t>
      </w:r>
      <w:r>
        <w:rPr>
          <w:rFonts w:eastAsia="宋体"/>
          <w:szCs w:val="20"/>
        </w:rPr>
        <w:t xml:space="preserve">to </w:t>
      </w:r>
      <w:r>
        <w:rPr>
          <w:rFonts w:eastAsia="宋体"/>
          <w:szCs w:val="20"/>
          <w:lang w:val="en-GB"/>
        </w:rPr>
        <w:t>UL TRP(s) in FR2</w:t>
      </w:r>
      <w:r>
        <w:rPr>
          <w:rFonts w:eastAsia="宋体"/>
          <w:szCs w:val="20"/>
        </w:rPr>
        <w:t xml:space="preserve"> as well</w:t>
      </w:r>
      <w:r>
        <w:rPr>
          <w:rFonts w:eastAsia="宋体"/>
          <w:szCs w:val="20"/>
          <w:lang w:val="en-GB"/>
        </w:rPr>
        <w:t>. Consequently, the same mechanism</w:t>
      </w:r>
      <w:r>
        <w:rPr>
          <w:rFonts w:eastAsia="宋体"/>
          <w:szCs w:val="20"/>
        </w:rPr>
        <w:t>s</w:t>
      </w:r>
      <w:r>
        <w:rPr>
          <w:rFonts w:eastAsia="宋体"/>
          <w:szCs w:val="20"/>
          <w:lang w:val="en-GB"/>
        </w:rPr>
        <w:t xml:space="preserve"> on PL offset indication for PDCCH-order PRACH towards </w:t>
      </w:r>
      <w:r>
        <w:rPr>
          <w:rFonts w:eastAsia="宋体"/>
          <w:szCs w:val="20"/>
        </w:rPr>
        <w:t xml:space="preserve">to </w:t>
      </w:r>
      <w:r>
        <w:rPr>
          <w:rFonts w:eastAsia="宋体"/>
          <w:szCs w:val="20"/>
          <w:lang w:val="en-GB"/>
        </w:rPr>
        <w:t>UL TRP(s) in FR1 can be reused.</w:t>
      </w:r>
    </w:p>
    <w:p>
      <w:pPr>
        <w:adjustRightInd w:val="0"/>
        <w:spacing w:before="180" w:beforeLines="50" w:beforeAutospacing="0" w:after="0" w:afterLines="0"/>
        <w:jc w:val="both"/>
        <w:rPr>
          <w:rFonts w:eastAsia="宋体"/>
          <w:i/>
          <w:iCs/>
          <w:szCs w:val="20"/>
        </w:rPr>
      </w:pPr>
      <w:r>
        <w:rPr>
          <w:rFonts w:eastAsia="宋体"/>
          <w:b/>
          <w:bCs/>
          <w:i/>
          <w:iCs/>
          <w:szCs w:val="20"/>
        </w:rPr>
        <w:t xml:space="preserve">Proposal 2: </w:t>
      </w:r>
      <w:r>
        <w:rPr>
          <w:rFonts w:eastAsia="等线"/>
          <w:i/>
          <w:szCs w:val="20"/>
          <w:lang w:val="en-GB"/>
        </w:rPr>
        <w:t xml:space="preserve">Support to apply PL offset on PDCCH-order PRACH towards </w:t>
      </w:r>
      <w:r>
        <w:rPr>
          <w:rFonts w:eastAsia="等线"/>
          <w:i/>
          <w:szCs w:val="20"/>
        </w:rPr>
        <w:t xml:space="preserve">to </w:t>
      </w:r>
      <w:r>
        <w:rPr>
          <w:rFonts w:eastAsia="等线"/>
          <w:i/>
          <w:szCs w:val="20"/>
          <w:lang w:val="en-GB"/>
        </w:rPr>
        <w:t>UL TPR(s) in FR2.</w:t>
      </w:r>
    </w:p>
    <w:p>
      <w:pPr>
        <w:pStyle w:val="52"/>
        <w:numPr>
          <w:ilvl w:val="0"/>
          <w:numId w:val="10"/>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iCs/>
          <w:szCs w:val="20"/>
        </w:rPr>
        <w:t>Reuse the mechanism</w:t>
      </w:r>
      <w:r>
        <w:rPr>
          <w:rFonts w:ascii="Times New Roman" w:hAnsi="Times New Roman" w:eastAsia="宋体"/>
          <w:i/>
          <w:iCs/>
          <w:szCs w:val="20"/>
          <w:lang w:val="en-US"/>
        </w:rPr>
        <w:t>s</w:t>
      </w:r>
      <w:r>
        <w:rPr>
          <w:rFonts w:ascii="Times New Roman" w:hAnsi="Times New Roman" w:eastAsia="宋体"/>
          <w:i/>
          <w:iCs/>
          <w:szCs w:val="20"/>
        </w:rPr>
        <w:t xml:space="preserve"> on PL offset indication for PDCCH-order PRACH towards UL TRP(s) in FR1</w:t>
      </w:r>
      <w:r>
        <w:rPr>
          <w:rFonts w:ascii="Times New Roman" w:hAnsi="Times New Roman" w:eastAsia="宋体"/>
          <w:i/>
          <w:szCs w:val="20"/>
        </w:rPr>
        <w:t>.</w:t>
      </w:r>
    </w:p>
    <w:p>
      <w:pPr>
        <w:pStyle w:val="2"/>
        <w:keepNext/>
        <w:tabs>
          <w:tab w:val="left" w:pos="3686"/>
          <w:tab w:val="left" w:pos="4536"/>
        </w:tabs>
        <w:spacing w:before="360" w:beforeLines="100" w:after="180" w:line="240" w:lineRule="auto"/>
        <w:textAlignment w:val="baseline"/>
        <w:rPr>
          <w:lang w:val="en-US"/>
        </w:rPr>
      </w:pPr>
      <w:r>
        <w:rPr>
          <w:lang w:val="en-US"/>
        </w:rPr>
        <w:t>Two separate closed loops for SRS</w:t>
      </w:r>
    </w:p>
    <w:p>
      <w:pPr>
        <w:adjustRightInd w:val="0"/>
        <w:spacing w:before="180" w:beforeLines="50" w:beforeAutospacing="0" w:after="180"/>
        <w:jc w:val="both"/>
        <w:rPr>
          <w:rFonts w:eastAsia="宋体"/>
          <w:szCs w:val="20"/>
        </w:rPr>
      </w:pPr>
      <w:r>
        <w:rPr>
          <w:rFonts w:eastAsia="宋体"/>
          <w:szCs w:val="20"/>
        </w:rPr>
        <w:t>In RAN1#118bis meeting, the following agreements were reached for the issue of supporting two separate SRS CLPC adjustment states [2].</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adjustRightInd w:val="0"/>
              <w:spacing w:beforeAutospacing="0" w:after="0" w:afterLines="0"/>
              <w:rPr>
                <w:rFonts w:eastAsia="Batang"/>
                <w:b/>
                <w:bCs/>
                <w:u w:val="single"/>
                <w:lang w:val="en-GB"/>
              </w:rPr>
            </w:pPr>
            <w:r>
              <w:rPr>
                <w:rFonts w:eastAsia="Batang"/>
                <w:b/>
                <w:bCs/>
                <w:u w:val="single"/>
                <w:lang w:val="en-GB"/>
              </w:rPr>
              <w:t>Agreement</w:t>
            </w:r>
          </w:p>
          <w:p>
            <w:pPr>
              <w:adjustRightInd w:val="0"/>
              <w:spacing w:beforeAutospacing="0" w:after="0" w:afterLines="0"/>
              <w:rPr>
                <w:rFonts w:eastAsia="等线"/>
                <w:szCs w:val="20"/>
                <w:lang w:val="en-CA" w:eastAsia="en-US"/>
              </w:rPr>
            </w:pPr>
            <w:r>
              <w:rPr>
                <w:rFonts w:eastAsia="等线"/>
                <w:szCs w:val="20"/>
                <w:lang w:val="en-CA" w:eastAsia="en-US"/>
              </w:rPr>
              <w:t xml:space="preserve">About the extended value range 1~X of starting bit of blocks in DCI format 2_3 in Rel-19, </w:t>
            </w:r>
            <w:r>
              <w:rPr>
                <w:rFonts w:eastAsia="等线"/>
                <w:b/>
                <w:bCs/>
                <w:szCs w:val="20"/>
                <w:lang w:val="en-CA" w:eastAsia="en-US"/>
              </w:rPr>
              <w:t>support Alt1</w:t>
            </w:r>
            <w:r>
              <w:rPr>
                <w:rFonts w:eastAsia="等线"/>
                <w:szCs w:val="20"/>
                <w:lang w:val="en-CA" w:eastAsia="en-US"/>
              </w:rPr>
              <w:t>:</w:t>
            </w:r>
          </w:p>
          <w:p>
            <w:pPr>
              <w:numPr>
                <w:ilvl w:val="0"/>
                <w:numId w:val="11"/>
              </w:numPr>
              <w:adjustRightInd w:val="0"/>
              <w:spacing w:beforeAutospacing="0" w:after="0" w:afterLines="0"/>
              <w:jc w:val="both"/>
              <w:rPr>
                <w:rFonts w:eastAsia="等线"/>
                <w:szCs w:val="20"/>
                <w:lang w:val="en-CA" w:eastAsia="en-US"/>
              </w:rPr>
            </w:pPr>
            <w:r>
              <w:rPr>
                <w:rFonts w:eastAsia="等线"/>
                <w:szCs w:val="20"/>
                <w:lang w:val="en-CA" w:eastAsia="en-US"/>
              </w:rPr>
              <w:t>Alt1: X = 45 (to be captured in RAN2 spec)</w:t>
            </w:r>
          </w:p>
          <w:p>
            <w:pPr>
              <w:numPr>
                <w:ilvl w:val="1"/>
                <w:numId w:val="11"/>
              </w:numPr>
              <w:adjustRightInd w:val="0"/>
              <w:spacing w:beforeAutospacing="0" w:after="0" w:afterLines="0"/>
              <w:jc w:val="both"/>
              <w:rPr>
                <w:rFonts w:eastAsia="等线"/>
                <w:szCs w:val="20"/>
                <w:lang w:val="en-CA" w:eastAsia="en-US"/>
              </w:rPr>
            </w:pPr>
            <w:r>
              <w:rPr>
                <w:rFonts w:eastAsia="等线"/>
                <w:szCs w:val="20"/>
                <w:lang w:val="en-CA" w:eastAsia="en-US"/>
              </w:rPr>
              <w:t xml:space="preserve">This feature is a separate UE capability and is appliable to any </w:t>
            </w:r>
            <w:r>
              <w:rPr>
                <w:rFonts w:eastAsia="Batang"/>
                <w:szCs w:val="20"/>
                <w:lang w:val="en-CA" w:eastAsia="ko-KR"/>
              </w:rPr>
              <w:t>R</w:t>
            </w:r>
            <w:r>
              <w:rPr>
                <w:rFonts w:eastAsia="等线"/>
                <w:szCs w:val="20"/>
                <w:lang w:val="en-CA" w:eastAsia="en-US"/>
              </w:rPr>
              <w:t>el-19 UE who supports this UE capability, regardless this UE supports two separate SRS CLPC adjustment states or not.</w:t>
            </w:r>
          </w:p>
          <w:p>
            <w:pPr>
              <w:numPr>
                <w:ilvl w:val="1"/>
                <w:numId w:val="11"/>
              </w:numPr>
              <w:adjustRightInd w:val="0"/>
              <w:spacing w:beforeAutospacing="0" w:after="0" w:afterLines="0"/>
              <w:jc w:val="both"/>
              <w:rPr>
                <w:rFonts w:eastAsia="等线"/>
                <w:szCs w:val="20"/>
                <w:lang w:val="en-CA" w:eastAsia="en-US"/>
              </w:rPr>
            </w:pPr>
            <w:r>
              <w:rPr>
                <w:rFonts w:eastAsia="等线"/>
                <w:szCs w:val="20"/>
                <w:lang w:val="en-CA" w:eastAsia="en-US"/>
              </w:rPr>
              <w:t xml:space="preserve">Note: X=45 can be used for operations in FR1 in shared spectrum or FR2-2 and X = 43 otherwise </w:t>
            </w:r>
          </w:p>
          <w:p>
            <w:pPr>
              <w:adjustRightInd w:val="0"/>
              <w:spacing w:beforeAutospacing="0" w:after="0" w:afterLines="0"/>
              <w:rPr>
                <w:rFonts w:eastAsia="等线"/>
                <w:szCs w:val="20"/>
                <w:lang w:val="en-CA" w:eastAsia="en-US"/>
              </w:rPr>
            </w:pPr>
          </w:p>
          <w:p>
            <w:pPr>
              <w:adjustRightInd w:val="0"/>
              <w:spacing w:beforeAutospacing="0" w:after="0" w:afterLines="0"/>
              <w:rPr>
                <w:rFonts w:eastAsia="Batang"/>
                <w:b/>
                <w:bCs/>
                <w:u w:val="single"/>
                <w:lang w:val="en-GB"/>
              </w:rPr>
            </w:pPr>
            <w:r>
              <w:rPr>
                <w:rFonts w:eastAsia="Batang"/>
                <w:b/>
                <w:bCs/>
                <w:u w:val="single"/>
                <w:lang w:val="en-GB"/>
              </w:rPr>
              <w:t>Agreement</w:t>
            </w:r>
          </w:p>
          <w:p>
            <w:pPr>
              <w:adjustRightInd w:val="0"/>
              <w:spacing w:beforeAutospacing="0" w:after="0" w:afterLines="0"/>
              <w:rPr>
                <w:rFonts w:eastAsia="等线"/>
                <w:szCs w:val="20"/>
                <w:lang w:val="en-CA"/>
              </w:rPr>
            </w:pPr>
            <w:r>
              <w:rPr>
                <w:rFonts w:eastAsia="等线"/>
                <w:szCs w:val="20"/>
                <w:lang w:val="en-CA"/>
              </w:rPr>
              <w:t>Support DCI format 1_1 to indicate TPC command for SRS CLPC adjustment state(s) separate from PUSCH:</w:t>
            </w:r>
          </w:p>
          <w:p>
            <w:pPr>
              <w:numPr>
                <w:ilvl w:val="0"/>
                <w:numId w:val="12"/>
              </w:numPr>
              <w:adjustRightInd w:val="0"/>
              <w:spacing w:beforeAutospacing="0" w:after="0" w:afterLines="0"/>
              <w:jc w:val="both"/>
              <w:rPr>
                <w:rFonts w:eastAsia="等线"/>
                <w:szCs w:val="20"/>
                <w:lang w:val="en-CA"/>
              </w:rPr>
            </w:pPr>
            <w:r>
              <w:rPr>
                <w:rFonts w:eastAsia="等线"/>
                <w:szCs w:val="20"/>
                <w:lang w:val="en-CA"/>
              </w:rPr>
              <w:t>(</w:t>
            </w:r>
            <w:r>
              <w:rPr>
                <w:rFonts w:eastAsia="等线"/>
                <w:b/>
                <w:bCs/>
                <w:szCs w:val="20"/>
                <w:highlight w:val="darkYellow"/>
                <w:lang w:val="en-CA"/>
              </w:rPr>
              <w:t>Working Assumption</w:t>
            </w:r>
            <w:r>
              <w:rPr>
                <w:rFonts w:eastAsia="等线"/>
                <w:szCs w:val="20"/>
                <w:lang w:val="en-CA"/>
              </w:rPr>
              <w:t>) Introduce a 2-bit TPC command field to indicate TPC command for SRS associated with separate SRS CLPC adjustment state where:</w:t>
            </w:r>
          </w:p>
          <w:p>
            <w:pPr>
              <w:numPr>
                <w:ilvl w:val="1"/>
                <w:numId w:val="12"/>
              </w:numPr>
              <w:adjustRightInd w:val="0"/>
              <w:spacing w:beforeAutospacing="0" w:after="0" w:afterLines="0"/>
              <w:jc w:val="both"/>
              <w:rPr>
                <w:rFonts w:eastAsia="等线"/>
                <w:szCs w:val="20"/>
                <w:lang w:val="en-CA"/>
              </w:rPr>
            </w:pPr>
            <w:r>
              <w:rPr>
                <w:rFonts w:eastAsia="等线"/>
                <w:szCs w:val="20"/>
                <w:lang w:val="en-CA"/>
              </w:rPr>
              <w:t>The 2-bit TPC command field is present if UE reports supporting a dedicated UE capability, and a corresponding RRC parameter is configured</w:t>
            </w:r>
            <w:r>
              <w:rPr>
                <w:rFonts w:eastAsia="等线"/>
                <w:szCs w:val="20"/>
                <w:lang w:val="en-GB"/>
              </w:rPr>
              <w:t xml:space="preserve"> (which is a new RRC to enable this)</w:t>
            </w:r>
            <w:r>
              <w:rPr>
                <w:rFonts w:eastAsia="等线"/>
                <w:szCs w:val="20"/>
                <w:lang w:val="en-CA"/>
              </w:rPr>
              <w:t>.</w:t>
            </w:r>
          </w:p>
          <w:p>
            <w:pPr>
              <w:numPr>
                <w:ilvl w:val="0"/>
                <w:numId w:val="12"/>
              </w:numPr>
              <w:adjustRightInd w:val="0"/>
              <w:spacing w:beforeAutospacing="0" w:after="0" w:afterLines="0"/>
              <w:jc w:val="both"/>
              <w:rPr>
                <w:rFonts w:eastAsia="等线"/>
                <w:szCs w:val="20"/>
                <w:lang w:val="en-CA"/>
              </w:rPr>
            </w:pPr>
            <w:r>
              <w:rPr>
                <w:rFonts w:eastAsia="等线"/>
                <w:szCs w:val="20"/>
                <w:lang w:val="en-CA"/>
              </w:rPr>
              <w:t>(</w:t>
            </w:r>
            <w:r>
              <w:rPr>
                <w:rFonts w:eastAsia="等线"/>
                <w:b/>
                <w:bCs/>
                <w:szCs w:val="20"/>
                <w:highlight w:val="darkYellow"/>
                <w:lang w:val="en-CA"/>
              </w:rPr>
              <w:t>Working Assumption</w:t>
            </w:r>
            <w:r>
              <w:rPr>
                <w:rFonts w:eastAsia="等线"/>
                <w:szCs w:val="20"/>
                <w:lang w:val="en-CA"/>
              </w:rPr>
              <w:t>) Introduce a 1-bit SRS close-loop indicator to indicate one of the two separate SRS CLPC adjustment states for the TPC command</w:t>
            </w:r>
          </w:p>
          <w:p>
            <w:pPr>
              <w:numPr>
                <w:ilvl w:val="1"/>
                <w:numId w:val="12"/>
              </w:numPr>
              <w:adjustRightInd w:val="0"/>
              <w:spacing w:beforeAutospacing="0" w:after="0" w:afterLines="0"/>
              <w:jc w:val="both"/>
              <w:rPr>
                <w:rFonts w:eastAsia="等线"/>
                <w:szCs w:val="20"/>
                <w:lang w:val="en-CA"/>
              </w:rPr>
            </w:pPr>
            <w:r>
              <w:rPr>
                <w:rFonts w:eastAsia="等线"/>
                <w:szCs w:val="20"/>
                <w:lang w:val="en-CA"/>
              </w:rPr>
              <w:t>The 1-bit SRS close-loop indicator is present if UE reports supporting another dedicated UE capability and a corresponding RRC parameter is configured (which is a new RRC to enable this) and two separate SRS CLPC adjustment states are configured.</w:t>
            </w:r>
          </w:p>
        </w:tc>
      </w:tr>
    </w:tbl>
    <w:p>
      <w:pPr>
        <w:adjustRightInd w:val="0"/>
        <w:spacing w:before="180" w:beforeLines="50" w:beforeAutospacing="0" w:after="0" w:afterLines="0"/>
        <w:jc w:val="both"/>
        <w:rPr>
          <w:rFonts w:eastAsia="宋体"/>
          <w:szCs w:val="20"/>
        </w:rPr>
      </w:pPr>
      <w:r>
        <w:rPr>
          <w:rFonts w:eastAsia="宋体"/>
          <w:szCs w:val="20"/>
        </w:rPr>
        <w:t xml:space="preserve">Regarding TPC command indicated by DCI format 1_1 for SRS </w:t>
      </w:r>
      <w:r>
        <w:rPr>
          <w:rFonts w:eastAsia="等线"/>
          <w:szCs w:val="20"/>
          <w:lang w:val="en-CA"/>
        </w:rPr>
        <w:t xml:space="preserve">CLPC adjustment state(s) separate from PUSCH, </w:t>
      </w:r>
      <w:r>
        <w:rPr>
          <w:rFonts w:eastAsia="宋体"/>
          <w:szCs w:val="20"/>
        </w:rPr>
        <w:t>it is proper to confirm the WA on the design of 2-bit TPC command indication field and 1-bit SRS closed-loop indicator field.</w:t>
      </w:r>
    </w:p>
    <w:p>
      <w:pPr>
        <w:adjustRightInd w:val="0"/>
        <w:spacing w:before="180" w:beforeLines="50" w:beforeAutospacing="0" w:after="0" w:afterLines="0"/>
        <w:jc w:val="both"/>
        <w:rPr>
          <w:rFonts w:eastAsia="宋体"/>
          <w:i/>
          <w:szCs w:val="20"/>
        </w:rPr>
      </w:pPr>
      <w:r>
        <w:rPr>
          <w:rFonts w:eastAsia="宋体"/>
          <w:b/>
          <w:bCs/>
          <w:i/>
          <w:iCs/>
          <w:szCs w:val="20"/>
        </w:rPr>
        <w:t>Proposal 3:</w:t>
      </w:r>
      <w:r>
        <w:rPr>
          <w:rFonts w:eastAsia="宋体"/>
          <w:i/>
          <w:iCs/>
          <w:szCs w:val="20"/>
        </w:rPr>
        <w:t xml:space="preserve"> </w:t>
      </w:r>
      <w:r>
        <w:rPr>
          <w:rFonts w:eastAsia="宋体"/>
          <w:i/>
          <w:szCs w:val="20"/>
        </w:rPr>
        <w:t>Support to confirm the WA on introducing a 2-bit TPC command field and a 1-bit SRS closed-loop indicator field in DCI format 1_1.</w:t>
      </w:r>
    </w:p>
    <w:p>
      <w:pPr>
        <w:adjustRightInd w:val="0"/>
        <w:spacing w:before="180" w:beforeLines="50" w:beforeAutospacing="0" w:after="0" w:afterLines="0"/>
        <w:jc w:val="both"/>
        <w:rPr>
          <w:rFonts w:eastAsia="宋体"/>
          <w:szCs w:val="20"/>
        </w:rPr>
      </w:pPr>
      <w:r>
        <w:rPr>
          <w:rFonts w:eastAsia="宋体"/>
          <w:szCs w:val="20"/>
        </w:rPr>
        <w:t xml:space="preserve">Consequently, TPC command application manner for SRS transmission needs to be determined for DCI format 1_1 scheduling. </w:t>
      </w:r>
    </w:p>
    <w:p>
      <w:pPr>
        <w:adjustRightInd w:val="0"/>
        <w:spacing w:before="180" w:beforeLines="50" w:beforeAutospacing="0" w:after="0" w:afterLines="0"/>
        <w:jc w:val="both"/>
        <w:rPr>
          <w:rFonts w:eastAsia="宋体"/>
          <w:szCs w:val="20"/>
        </w:rPr>
      </w:pPr>
      <w:r>
        <w:rPr>
          <w:rFonts w:eastAsia="宋体"/>
          <w:szCs w:val="20"/>
        </w:rPr>
        <w:t>According to the following excerpts in TS 38.213, in case of TPC command indicated by DCI format 2_3 for SRS configured with separated CLPC adjustment state, the mechanisms on accumulated TPC command and absolute TPC command are specified respectively. More precisely,</w:t>
      </w:r>
    </w:p>
    <w:p>
      <w:pPr>
        <w:pStyle w:val="52"/>
        <w:numPr>
          <w:ilvl w:val="0"/>
          <w:numId w:val="9"/>
        </w:numPr>
        <w:spacing w:before="180" w:beforeLines="50" w:after="108"/>
        <w:ind w:leftChars="0"/>
        <w:rPr>
          <w:rFonts w:ascii="Times New Roman" w:hAnsi="Times New Roman" w:eastAsia="宋体"/>
          <w:szCs w:val="20"/>
        </w:rPr>
      </w:pPr>
      <w:r>
        <w:rPr>
          <w:rFonts w:ascii="Times New Roman" w:hAnsi="Times New Roman" w:eastAsia="宋体"/>
          <w:szCs w:val="20"/>
          <w:highlight w:val="cyan"/>
        </w:rPr>
        <w:t>Regarding the mechanism on accumulated TPC command</w:t>
      </w:r>
      <w:r>
        <w:rPr>
          <w:rFonts w:ascii="Times New Roman" w:hAnsi="Times New Roman" w:eastAsia="宋体"/>
          <w:szCs w:val="20"/>
        </w:rPr>
        <w:t xml:space="preserve">, it can be illustrated as in the following Figure 2. Wherein, </w:t>
      </w:r>
    </w:p>
    <w:p>
      <w:pPr>
        <w:pStyle w:val="52"/>
        <w:numPr>
          <w:ilvl w:val="1"/>
          <w:numId w:val="9"/>
        </w:numPr>
        <w:spacing w:before="180" w:beforeLines="50" w:after="108"/>
        <w:ind w:leftChars="0"/>
        <w:rPr>
          <w:rFonts w:ascii="Times New Roman" w:hAnsi="Times New Roman" w:eastAsia="宋体"/>
          <w:szCs w:val="20"/>
        </w:rPr>
      </w:pPr>
      <w:r>
        <w:rPr>
          <w:rFonts w:ascii="Times New Roman" w:hAnsi="Times New Roman" w:eastAsia="宋体"/>
          <w:szCs w:val="20"/>
        </w:rPr>
        <w:t>TPC command for AP SRS triggered by DCI is accumulated from the last symbol of a corresponding PDCCH triggering the previously nearby AP SRS to the last symbol of a corresponding PDCCH triggering this AP-SRS, and</w:t>
      </w:r>
    </w:p>
    <w:p>
      <w:pPr>
        <w:pStyle w:val="52"/>
        <w:numPr>
          <w:ilvl w:val="1"/>
          <w:numId w:val="9"/>
        </w:numPr>
        <w:spacing w:before="180" w:beforeLines="50" w:after="108"/>
        <w:ind w:leftChars="0"/>
        <w:rPr>
          <w:rFonts w:ascii="Times New Roman" w:hAnsi="Times New Roman" w:eastAsia="宋体"/>
          <w:szCs w:val="20"/>
        </w:rPr>
      </w:pPr>
      <w:r>
        <w:rPr>
          <w:rFonts w:ascii="Times New Roman" w:hAnsi="Times New Roman" w:eastAsia="宋体"/>
          <w:szCs w:val="20"/>
        </w:rPr>
        <w:t xml:space="preserve">TPC command for SP/P SRS does not triggered by DCI is accumulated from the last symbol of a corresponding PDCCH triggering the previously nearby AP SRS to </w:t>
      </w:r>
      <w:r>
        <w:rPr>
          <w:rFonts w:ascii="Times New Roman" w:hAnsi="Times New Roman" w:eastAsia="宋体"/>
          <w:i/>
          <w:szCs w:val="20"/>
        </w:rPr>
        <w:t>k2</w:t>
      </w:r>
      <w:r>
        <w:rPr>
          <w:rFonts w:ascii="Times New Roman" w:hAnsi="Times New Roman" w:eastAsia="宋体"/>
          <w:szCs w:val="20"/>
        </w:rPr>
        <w:t xml:space="preserve"> configured for the SP/P SRS.</w:t>
      </w:r>
    </w:p>
    <w:p>
      <w:pPr>
        <w:pStyle w:val="52"/>
        <w:spacing w:before="180" w:beforeLines="50" w:after="0" w:afterLines="0"/>
        <w:ind w:left="360" w:leftChars="0"/>
        <w:jc w:val="center"/>
        <w:rPr>
          <w:rFonts w:ascii="Times New Roman" w:hAnsi="Times New Roman" w:eastAsia="宋体"/>
          <w:szCs w:val="20"/>
        </w:rPr>
      </w:pPr>
      <w:r>
        <w:rPr>
          <w:rFonts w:ascii="Times New Roman" w:hAnsi="Times New Roman"/>
        </w:rPr>
        <w:drawing>
          <wp:inline distT="0" distB="0" distL="0" distR="0">
            <wp:extent cx="5575300" cy="2155825"/>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75300" cy="2155825"/>
                    </a:xfrm>
                    <a:prstGeom prst="rect">
                      <a:avLst/>
                    </a:prstGeom>
                  </pic:spPr>
                </pic:pic>
              </a:graphicData>
            </a:graphic>
          </wp:inline>
        </w:drawing>
      </w:r>
    </w:p>
    <w:p>
      <w:pPr>
        <w:pStyle w:val="52"/>
        <w:spacing w:before="108" w:after="108"/>
        <w:ind w:left="360" w:leftChars="0"/>
        <w:jc w:val="center"/>
        <w:rPr>
          <w:rFonts w:ascii="Times New Roman" w:hAnsi="Times New Roman" w:eastAsia="宋体"/>
          <w:szCs w:val="20"/>
        </w:rPr>
      </w:pPr>
      <w:r>
        <w:rPr>
          <w:rFonts w:ascii="Times New Roman" w:hAnsi="Times New Roman" w:eastAsia="宋体"/>
          <w:b/>
          <w:bCs/>
          <w:szCs w:val="20"/>
        </w:rPr>
        <w:t>Figure 2</w:t>
      </w:r>
      <w:r>
        <w:rPr>
          <w:rFonts w:ascii="Times New Roman" w:hAnsi="Times New Roman" w:eastAsia="宋体"/>
          <w:szCs w:val="20"/>
        </w:rPr>
        <w:tab/>
      </w:r>
      <w:r>
        <w:rPr>
          <w:rFonts w:ascii="Times New Roman" w:hAnsi="Times New Roman" w:eastAsia="宋体"/>
          <w:szCs w:val="20"/>
        </w:rPr>
        <w:t>TPC command accumulation for SRS transmission with separate CLPC adjustment state</w:t>
      </w:r>
    </w:p>
    <w:p>
      <w:pPr>
        <w:pStyle w:val="52"/>
        <w:numPr>
          <w:ilvl w:val="0"/>
          <w:numId w:val="9"/>
        </w:numPr>
        <w:spacing w:before="180" w:beforeLines="50" w:after="108"/>
        <w:ind w:leftChars="0"/>
        <w:rPr>
          <w:rFonts w:ascii="Times New Roman" w:hAnsi="Times New Roman" w:eastAsia="宋体"/>
          <w:szCs w:val="20"/>
        </w:rPr>
      </w:pPr>
      <w:r>
        <w:rPr>
          <w:rFonts w:ascii="Times New Roman" w:hAnsi="Times New Roman" w:eastAsia="宋体"/>
          <w:szCs w:val="20"/>
          <w:highlight w:val="magenta"/>
        </w:rPr>
        <w:t>Regarding the mechanism on absolute TPC command</w:t>
      </w:r>
      <w:r>
        <w:rPr>
          <w:rFonts w:ascii="Times New Roman" w:hAnsi="Times New Roman" w:eastAsia="宋体"/>
          <w:szCs w:val="20"/>
        </w:rPr>
        <w:t xml:space="preserve">, it is intuitively indicated by the DCI format 2_3 </w:t>
      </w:r>
      <w:r>
        <w:rPr>
          <w:rFonts w:hint="eastAsia" w:ascii="Times New Roman" w:hAnsi="Times New Roman" w:eastAsia="宋体"/>
          <w:szCs w:val="20"/>
          <w:lang w:val="en-US"/>
        </w:rPr>
        <w:t xml:space="preserve">that received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lang w:val="en-US"/>
              </w:rPr>
              <m:t>SRS,min</m:t>
            </m:r>
            <m:ctrlPr>
              <w:rPr>
                <w:rFonts w:ascii="Cambria Math" w:hAnsi="Cambria Math"/>
                <w:i/>
              </w:rPr>
            </m:ctrlPr>
          </m:sub>
        </m:sSub>
      </m:oMath>
      <w:r>
        <w:rPr>
          <w:rFonts w:ascii="Times New Roman" w:hAnsi="Times New Roman" w:eastAsia="等线"/>
          <w:lang w:val="en-US"/>
        </w:rPr>
        <w:t xml:space="preserve"> symbols before the</w:t>
      </w:r>
      <w:r>
        <w:rPr>
          <w:rFonts w:ascii="Times New Roman" w:hAnsi="Times New Roman"/>
          <w:lang w:val="en-US"/>
        </w:rPr>
        <w:t xml:space="preserve"> SRS transmission.</w:t>
      </w:r>
    </w:p>
    <w:p>
      <w:pPr>
        <w:pStyle w:val="52"/>
        <w:numPr>
          <w:ilvl w:val="0"/>
          <w:numId w:val="13"/>
        </w:numPr>
        <w:spacing w:before="180" w:beforeLines="50" w:after="0" w:afterLines="0"/>
        <w:ind w:leftChars="0"/>
        <w:rPr>
          <w:rFonts w:ascii="Times New Roman" w:hAnsi="Times New Roman" w:eastAsia="宋体"/>
          <w:b/>
          <w:szCs w:val="20"/>
        </w:rPr>
      </w:pPr>
      <w:r>
        <w:rPr>
          <w:rFonts w:ascii="Times New Roman" w:hAnsi="Times New Roman" w:eastAsia="宋体"/>
          <w:b/>
          <w:szCs w:val="20"/>
        </w:rPr>
        <w:t>TS 38.213</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djustRightInd w:val="0"/>
              <w:spacing w:beforeAutospacing="0" w:after="180" w:afterLines="0"/>
              <w:rPr>
                <w:rFonts w:ascii="Arial" w:hAnsi="Arial" w:eastAsia="宋体" w:cs="Arial"/>
                <w:sz w:val="32"/>
                <w:szCs w:val="36"/>
              </w:rPr>
            </w:pPr>
            <w:r>
              <w:rPr>
                <w:rFonts w:ascii="Arial" w:hAnsi="Arial" w:eastAsia="宋体" w:cs="Arial"/>
                <w:sz w:val="32"/>
                <w:szCs w:val="36"/>
              </w:rPr>
              <w:t>7.3</w:t>
            </w:r>
            <w:r>
              <w:rPr>
                <w:rFonts w:ascii="Arial" w:hAnsi="Arial" w:eastAsia="宋体" w:cs="Arial"/>
                <w:sz w:val="32"/>
                <w:szCs w:val="36"/>
              </w:rPr>
              <w:tab/>
            </w:r>
            <w:r>
              <w:rPr>
                <w:rFonts w:ascii="Arial" w:hAnsi="Arial" w:eastAsia="宋体" w:cs="Arial"/>
                <w:sz w:val="32"/>
                <w:szCs w:val="36"/>
              </w:rPr>
              <w:t>Sounding reference signals</w:t>
            </w:r>
          </w:p>
          <w:p>
            <w:pPr>
              <w:adjustRightInd w:val="0"/>
              <w:spacing w:beforeAutospacing="0" w:after="180" w:afterLines="0"/>
              <w:rPr>
                <w:rFonts w:eastAsia="宋体"/>
                <w:szCs w:val="20"/>
                <w:lang w:val="en-GB"/>
              </w:rPr>
            </w:pPr>
            <w:r>
              <w:rPr>
                <w:rFonts w:eastAsia="宋体"/>
                <w:szCs w:val="20"/>
                <w:lang w:val="en-GB"/>
              </w:rPr>
              <w:t xml:space="preserve">For SRS, </w:t>
            </w:r>
          </w:p>
          <w:p>
            <w:pPr>
              <w:adjustRightInd w:val="0"/>
              <w:spacing w:beforeAutospacing="0" w:after="180" w:afterLines="0"/>
              <w:ind w:left="568" w:hanging="284"/>
              <w:rPr>
                <w:rFonts w:eastAsia="宋体"/>
                <w:szCs w:val="20"/>
                <w:lang w:eastAsia="en-US"/>
              </w:rPr>
            </w:pPr>
            <w:r>
              <w:rPr>
                <w:rFonts w:eastAsia="宋体"/>
                <w:szCs w:val="20"/>
                <w:lang w:eastAsia="en-US"/>
              </w:rPr>
              <w:t>-</w:t>
            </w:r>
            <w:r>
              <w:rPr>
                <w:rFonts w:eastAsia="宋体"/>
                <w:szCs w:val="20"/>
                <w:lang w:eastAsia="en-US"/>
              </w:rPr>
              <w:tab/>
            </w:r>
            <w:r>
              <w:rPr>
                <w:rFonts w:eastAsia="宋体"/>
                <w:szCs w:val="20"/>
                <w:lang w:eastAsia="ko-KR"/>
              </w:rPr>
              <w:t xml:space="preserve">if a UE is provided </w:t>
            </w:r>
            <w:r>
              <w:rPr>
                <w:rFonts w:eastAsia="Malgun Gothic"/>
                <w:i/>
                <w:iCs/>
                <w:szCs w:val="20"/>
                <w:lang w:eastAsia="en-US"/>
              </w:rPr>
              <w:t>nrofSRS-Ports-n8</w:t>
            </w:r>
            <w:r>
              <w:rPr>
                <w:rFonts w:eastAsia="Malgun Gothic"/>
                <w:szCs w:val="20"/>
                <w:lang w:eastAsia="en-US"/>
              </w:rPr>
              <w:t xml:space="preserve"> </w:t>
            </w:r>
            <w:r>
              <w:rPr>
                <w:rFonts w:eastAsia="宋体"/>
                <w:iCs/>
                <w:szCs w:val="20"/>
              </w:rPr>
              <w:t>= '</w:t>
            </w:r>
            <w:r>
              <w:rPr>
                <w:rFonts w:eastAsia="Malgun Gothic"/>
                <w:szCs w:val="20"/>
                <w:lang w:eastAsia="en-US"/>
              </w:rPr>
              <w:t>ports8tdm</w:t>
            </w:r>
            <w:r>
              <w:rPr>
                <w:rFonts w:eastAsia="宋体"/>
                <w:iCs/>
                <w:szCs w:val="20"/>
              </w:rPr>
              <w:t>'</w:t>
            </w:r>
            <w:r>
              <w:rPr>
                <w:rFonts w:eastAsia="宋体"/>
                <w:i/>
                <w:szCs w:val="20"/>
                <w:lang w:eastAsia="ko-KR"/>
              </w:rPr>
              <w:t xml:space="preserve"> </w:t>
            </w:r>
            <w:r>
              <w:rPr>
                <w:rFonts w:eastAsia="宋体"/>
                <w:szCs w:val="20"/>
                <w:lang w:eastAsia="ko-KR"/>
              </w:rPr>
              <w:t xml:space="preserve">for an SRS resource with 8 ports in an SRS resource set with usage 'codebook' or 'antennaSwitching', the UE </w:t>
            </w:r>
            <w:r>
              <w:rPr>
                <w:rFonts w:eastAsia="宋体"/>
                <w:szCs w:val="20"/>
              </w:rPr>
              <w:t xml:space="preserve">splits a linear value </w:t>
            </w:r>
            <m:oMath>
              <m:sSub>
                <m:sSubPr>
                  <m:ctrlPr>
                    <w:rPr>
                      <w:rFonts w:ascii="Cambria Math" w:hAnsi="Cambria Math" w:eastAsia="宋体"/>
                      <w:iCs/>
                      <w:szCs w:val="20"/>
                      <w:lang w:val="zh-CN" w:eastAsia="en-US"/>
                    </w:rPr>
                  </m:ctrlPr>
                </m:sSubPr>
                <m:e>
                  <m:acc>
                    <m:accPr>
                      <m:ctrlPr>
                        <w:rPr>
                          <w:rFonts w:ascii="Cambria Math" w:hAnsi="Cambria Math" w:eastAsia="宋体"/>
                          <w:i/>
                          <w:szCs w:val="20"/>
                          <w:lang w:val="zh-CN" w:eastAsia="en-US"/>
                        </w:rPr>
                      </m:ctrlPr>
                    </m:accPr>
                    <m:e>
                      <m:r>
                        <m:rPr/>
                        <w:rPr>
                          <w:rFonts w:ascii="Cambria Math" w:hAnsi="Cambria Math" w:eastAsia="宋体"/>
                          <w:szCs w:val="20"/>
                          <w:lang w:val="zh-CN" w:eastAsia="en-US"/>
                        </w:rPr>
                        <m:t>P</m:t>
                      </m:r>
                      <m:ctrlPr>
                        <w:rPr>
                          <w:rFonts w:ascii="Cambria Math" w:hAnsi="Cambria Math" w:eastAsia="宋体"/>
                          <w:i/>
                          <w:szCs w:val="20"/>
                          <w:lang w:val="zh-CN" w:eastAsia="en-US"/>
                        </w:rPr>
                      </m:ctrlPr>
                    </m:e>
                  </m:acc>
                  <m:ctrlPr>
                    <w:rPr>
                      <w:rFonts w:ascii="Cambria Math" w:hAnsi="Cambria Math" w:eastAsia="宋体"/>
                      <w:iCs/>
                      <w:szCs w:val="20"/>
                      <w:lang w:val="zh-CN" w:eastAsia="en-US"/>
                    </w:rPr>
                  </m:ctrlPr>
                </m:e>
                <m:sub>
                  <m:r>
                    <m:rPr>
                      <m:nor/>
                      <m:sty m:val="p"/>
                    </m:rPr>
                    <w:rPr>
                      <w:rFonts w:ascii="Cambria Math" w:hAnsi="Cambria Math" w:eastAsia="宋体"/>
                      <w:iCs/>
                      <w:szCs w:val="20"/>
                      <w:lang w:eastAsia="en-US"/>
                    </w:rPr>
                    <m:t>SRS</m:t>
                  </m:r>
                  <m:r>
                    <m:rPr>
                      <m:sty m:val="p"/>
                    </m:rPr>
                    <w:rPr>
                      <w:rFonts w:ascii="Cambria Math" w:hAnsi="Cambria Math" w:eastAsia="宋体"/>
                      <w:szCs w:val="20"/>
                      <w:lang w:eastAsia="en-US"/>
                    </w:rPr>
                    <m:t>,</m:t>
                  </m:r>
                  <m:r>
                    <m:rPr/>
                    <w:rPr>
                      <w:rFonts w:ascii="Cambria Math" w:hAnsi="Cambria Math" w:eastAsia="宋体"/>
                      <w:szCs w:val="20"/>
                      <w:lang w:val="zh-CN" w:eastAsia="en-US"/>
                    </w:rPr>
                    <m:t>b</m:t>
                  </m:r>
                  <m:r>
                    <m:rPr>
                      <m:sty m:val="p"/>
                    </m:rPr>
                    <w:rPr>
                      <w:rFonts w:ascii="Cambria Math" w:hAnsi="Cambria Math" w:eastAsia="宋体"/>
                      <w:szCs w:val="20"/>
                      <w:lang w:eastAsia="en-US"/>
                    </w:rPr>
                    <m:t>,</m:t>
                  </m:r>
                  <m:r>
                    <m:rPr/>
                    <w:rPr>
                      <w:rFonts w:ascii="Cambria Math" w:hAnsi="Cambria Math" w:eastAsia="宋体"/>
                      <w:szCs w:val="20"/>
                      <w:lang w:val="zh-CN" w:eastAsia="en-US"/>
                    </w:rPr>
                    <m:t>f</m:t>
                  </m:r>
                  <m:r>
                    <m:rPr>
                      <m:sty m:val="p"/>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i</m:t>
              </m:r>
              <m:r>
                <m:rPr>
                  <m:sty m:val="p"/>
                </m:rPr>
                <w:rPr>
                  <w:rFonts w:ascii="Cambria Math" w:hAnsi="Cambria Math" w:eastAsia="宋体"/>
                  <w:szCs w:val="20"/>
                  <w:lang w:eastAsia="en-US"/>
                </w:rPr>
                <m:t>,</m:t>
              </m:r>
              <m:sSub>
                <m:sSubPr>
                  <m:ctrlPr>
                    <w:rPr>
                      <w:rFonts w:ascii="Cambria Math" w:hAnsi="Cambria Math" w:eastAsia="宋体"/>
                      <w:iCs/>
                      <w:szCs w:val="20"/>
                      <w:lang w:val="zh-CN" w:eastAsia="en-US"/>
                    </w:rPr>
                  </m:ctrlPr>
                </m:sSubPr>
                <m:e>
                  <m:r>
                    <m:rPr/>
                    <w:rPr>
                      <w:rFonts w:ascii="Cambria Math" w:hAnsi="Cambria Math" w:eastAsia="宋体"/>
                      <w:szCs w:val="20"/>
                      <w:lang w:val="zh-CN" w:eastAsia="en-US"/>
                    </w:rPr>
                    <m:t>q</m:t>
                  </m:r>
                  <m:ctrlPr>
                    <w:rPr>
                      <w:rFonts w:ascii="Cambria Math" w:hAnsi="Cambria Math" w:eastAsia="宋体"/>
                      <w:iCs/>
                      <w:szCs w:val="20"/>
                      <w:lang w:val="zh-CN" w:eastAsia="en-US"/>
                    </w:rPr>
                  </m:ctrlPr>
                </m:e>
                <m:sub>
                  <m:r>
                    <m:rPr/>
                    <w:rPr>
                      <w:rFonts w:ascii="Cambria Math" w:hAnsi="Cambria Math" w:eastAsia="宋体"/>
                      <w:szCs w:val="20"/>
                      <w:lang w:val="zh-CN" w:eastAsia="en-US"/>
                    </w:rPr>
                    <m:t>s</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l</m:t>
              </m:r>
              <m:r>
                <m:rPr>
                  <m:sty m:val="p"/>
                </m:rPr>
                <w:rPr>
                  <w:rFonts w:ascii="Cambria Math" w:hAnsi="Cambria Math" w:eastAsia="宋体"/>
                  <w:szCs w:val="20"/>
                  <w:lang w:eastAsia="en-US"/>
                </w:rPr>
                <m:t>)</m:t>
              </m:r>
            </m:oMath>
            <w:r>
              <w:rPr>
                <w:rFonts w:eastAsia="宋体"/>
                <w:szCs w:val="20"/>
                <w:lang w:eastAsia="en-US"/>
              </w:rPr>
              <w:t xml:space="preserve"> </w:t>
            </w:r>
            <w:r>
              <w:rPr>
                <w:rFonts w:eastAsia="宋体"/>
                <w:szCs w:val="20"/>
              </w:rPr>
              <w:t>of the transmit power</w:t>
            </w:r>
            <w:r>
              <w:rPr>
                <w:rFonts w:eastAsia="宋体"/>
                <w:szCs w:val="20"/>
                <w:lang w:eastAsia="en-US"/>
              </w:rPr>
              <w:t xml:space="preserve"> </w:t>
            </w:r>
            <m:oMath>
              <m:sSub>
                <m:sSubPr>
                  <m:ctrlPr>
                    <w:rPr>
                      <w:rFonts w:ascii="Cambria Math" w:hAnsi="Cambria Math" w:eastAsia="宋体"/>
                      <w:iCs/>
                      <w:szCs w:val="20"/>
                      <w:lang w:val="zh-CN" w:eastAsia="en-US"/>
                    </w:rPr>
                  </m:ctrlPr>
                </m:sSubPr>
                <m:e>
                  <m:r>
                    <m:rPr/>
                    <w:rPr>
                      <w:rFonts w:ascii="Cambria Math" w:hAnsi="Cambria Math" w:eastAsia="宋体"/>
                      <w:szCs w:val="20"/>
                      <w:lang w:val="zh-CN" w:eastAsia="en-US"/>
                    </w:rPr>
                    <m:t>P</m:t>
                  </m:r>
                  <m:ctrlPr>
                    <w:rPr>
                      <w:rFonts w:ascii="Cambria Math" w:hAnsi="Cambria Math" w:eastAsia="宋体"/>
                      <w:iCs/>
                      <w:szCs w:val="20"/>
                      <w:lang w:val="zh-CN" w:eastAsia="en-US"/>
                    </w:rPr>
                  </m:ctrlPr>
                </m:e>
                <m:sub>
                  <m:r>
                    <m:rPr>
                      <m:nor/>
                      <m:sty m:val="p"/>
                    </m:rPr>
                    <w:rPr>
                      <w:rFonts w:ascii="Cambria Math" w:hAnsi="Cambria Math" w:eastAsia="宋体"/>
                      <w:iCs/>
                      <w:szCs w:val="20"/>
                      <w:lang w:eastAsia="en-US"/>
                    </w:rPr>
                    <m:t>SRS</m:t>
                  </m:r>
                  <m:r>
                    <m:rPr>
                      <m:sty m:val="p"/>
                    </m:rPr>
                    <w:rPr>
                      <w:rFonts w:ascii="Cambria Math" w:hAnsi="Cambria Math" w:eastAsia="宋体"/>
                      <w:szCs w:val="20"/>
                      <w:lang w:eastAsia="en-US"/>
                    </w:rPr>
                    <m:t>,</m:t>
                  </m:r>
                  <m:r>
                    <m:rPr/>
                    <w:rPr>
                      <w:rFonts w:ascii="Cambria Math" w:hAnsi="Cambria Math" w:eastAsia="宋体"/>
                      <w:szCs w:val="20"/>
                      <w:lang w:val="zh-CN" w:eastAsia="en-US"/>
                    </w:rPr>
                    <m:t>b</m:t>
                  </m:r>
                  <m:r>
                    <m:rPr>
                      <m:sty m:val="p"/>
                    </m:rPr>
                    <w:rPr>
                      <w:rFonts w:ascii="Cambria Math" w:hAnsi="Cambria Math" w:eastAsia="宋体"/>
                      <w:szCs w:val="20"/>
                      <w:lang w:eastAsia="en-US"/>
                    </w:rPr>
                    <m:t>,</m:t>
                  </m:r>
                  <m:r>
                    <m:rPr/>
                    <w:rPr>
                      <w:rFonts w:ascii="Cambria Math" w:hAnsi="Cambria Math" w:eastAsia="宋体"/>
                      <w:szCs w:val="20"/>
                      <w:lang w:val="zh-CN" w:eastAsia="en-US"/>
                    </w:rPr>
                    <m:t>f</m:t>
                  </m:r>
                  <m:r>
                    <m:rPr>
                      <m:sty m:val="p"/>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i</m:t>
              </m:r>
              <m:r>
                <m:rPr>
                  <m:sty m:val="p"/>
                </m:rPr>
                <w:rPr>
                  <w:rFonts w:ascii="Cambria Math" w:hAnsi="Cambria Math" w:eastAsia="宋体"/>
                  <w:szCs w:val="20"/>
                  <w:lang w:eastAsia="en-US"/>
                </w:rPr>
                <m:t>,</m:t>
              </m:r>
              <m:sSub>
                <m:sSubPr>
                  <m:ctrlPr>
                    <w:rPr>
                      <w:rFonts w:ascii="Cambria Math" w:hAnsi="Cambria Math" w:eastAsia="宋体"/>
                      <w:iCs/>
                      <w:szCs w:val="20"/>
                      <w:lang w:val="zh-CN" w:eastAsia="en-US"/>
                    </w:rPr>
                  </m:ctrlPr>
                </m:sSubPr>
                <m:e>
                  <m:r>
                    <m:rPr/>
                    <w:rPr>
                      <w:rFonts w:ascii="Cambria Math" w:hAnsi="Cambria Math" w:eastAsia="宋体"/>
                      <w:szCs w:val="20"/>
                      <w:lang w:val="zh-CN" w:eastAsia="en-US"/>
                    </w:rPr>
                    <m:t>q</m:t>
                  </m:r>
                  <m:ctrlPr>
                    <w:rPr>
                      <w:rFonts w:ascii="Cambria Math" w:hAnsi="Cambria Math" w:eastAsia="宋体"/>
                      <w:iCs/>
                      <w:szCs w:val="20"/>
                      <w:lang w:val="zh-CN" w:eastAsia="en-US"/>
                    </w:rPr>
                  </m:ctrlPr>
                </m:e>
                <m:sub>
                  <m:r>
                    <m:rPr/>
                    <w:rPr>
                      <w:rFonts w:ascii="Cambria Math" w:hAnsi="Cambria Math" w:eastAsia="宋体"/>
                      <w:szCs w:val="20"/>
                      <w:lang w:val="zh-CN" w:eastAsia="en-US"/>
                    </w:rPr>
                    <m:t>s</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l</m:t>
              </m:r>
              <m:r>
                <m:rPr>
                  <m:sty m:val="p"/>
                </m:rPr>
                <w:rPr>
                  <w:rFonts w:ascii="Cambria Math" w:hAnsi="Cambria Math" w:eastAsia="宋体"/>
                  <w:szCs w:val="20"/>
                  <w:lang w:eastAsia="en-US"/>
                </w:rPr>
                <m:t>)</m:t>
              </m:r>
            </m:oMath>
            <w:r>
              <w:rPr>
                <w:rFonts w:eastAsia="宋体"/>
                <w:iCs/>
                <w:szCs w:val="20"/>
                <w:lang w:eastAsia="en-US"/>
              </w:rPr>
              <w:t xml:space="preserve"> </w:t>
            </w:r>
            <w:r>
              <w:rPr>
                <w:rFonts w:eastAsia="宋体"/>
                <w:szCs w:val="20"/>
              </w:rPr>
              <w:t xml:space="preserve">on active </w:t>
            </w:r>
            <w:r>
              <w:rPr>
                <w:rFonts w:eastAsia="宋体"/>
                <w:szCs w:val="20"/>
                <w:lang w:eastAsia="en-US"/>
              </w:rPr>
              <w:t xml:space="preserve">UL BWP </w:t>
            </w:r>
            <m:oMath>
              <m:r>
                <m:rPr/>
                <w:rPr>
                  <w:rFonts w:ascii="Cambria Math" w:hAnsi="Cambria Math" w:eastAsia="宋体"/>
                  <w:szCs w:val="20"/>
                  <w:lang w:val="zh-CN" w:eastAsia="en-US"/>
                </w:rPr>
                <m:t>b</m:t>
              </m:r>
            </m:oMath>
            <w:r>
              <w:rPr>
                <w:rFonts w:eastAsia="宋体"/>
                <w:iCs/>
                <w:szCs w:val="20"/>
                <w:lang w:eastAsia="en-US"/>
              </w:rPr>
              <w:t xml:space="preserve"> </w:t>
            </w:r>
            <w:r>
              <w:rPr>
                <w:rFonts w:eastAsia="宋体"/>
                <w:szCs w:val="20"/>
                <w:lang w:eastAsia="en-US"/>
              </w:rPr>
              <w:t xml:space="preserve">of carrier </w:t>
            </w:r>
            <m:oMath>
              <m:r>
                <m:rPr/>
                <w:rPr>
                  <w:rFonts w:ascii="Cambria Math" w:hAnsi="Cambria Math" w:eastAsia="宋体"/>
                  <w:szCs w:val="20"/>
                  <w:lang w:eastAsia="en-US"/>
                </w:rPr>
                <m:t>f</m:t>
              </m:r>
            </m:oMath>
            <w:r>
              <w:rPr>
                <w:rFonts w:eastAsia="宋体"/>
                <w:iCs/>
                <w:szCs w:val="20"/>
                <w:lang w:eastAsia="en-US"/>
              </w:rPr>
              <w:t xml:space="preserve"> </w:t>
            </w:r>
            <w:r>
              <w:rPr>
                <w:rFonts w:eastAsia="宋体"/>
                <w:szCs w:val="20"/>
                <w:lang w:eastAsia="en-US"/>
              </w:rPr>
              <w:t xml:space="preserve">of serving cell </w:t>
            </w:r>
            <m:oMath>
              <m:r>
                <m:rPr/>
                <w:rPr>
                  <w:rFonts w:ascii="Cambria Math" w:hAnsi="Cambria Math" w:eastAsia="宋体"/>
                  <w:szCs w:val="20"/>
                  <w:lang w:val="zh-CN" w:eastAsia="en-US"/>
                </w:rPr>
                <m:t>c</m:t>
              </m:r>
            </m:oMath>
            <w:r>
              <w:rPr>
                <w:rFonts w:eastAsia="宋体"/>
                <w:szCs w:val="20"/>
                <w:lang w:eastAsia="en-US"/>
              </w:rPr>
              <w:t xml:space="preserve"> </w:t>
            </w:r>
            <w:r>
              <w:rPr>
                <w:rFonts w:eastAsia="宋体"/>
                <w:szCs w:val="20"/>
              </w:rPr>
              <w:t>equally across the SRS ports of an SRS resource of an SRS resource set on each symbol for SRS transmission</w:t>
            </w:r>
            <w:r>
              <w:rPr>
                <w:rFonts w:eastAsia="宋体"/>
                <w:szCs w:val="20"/>
                <w:lang w:eastAsia="ko-KR"/>
              </w:rPr>
              <w:t>.</w:t>
            </w:r>
          </w:p>
          <w:p>
            <w:pPr>
              <w:adjustRightInd w:val="0"/>
              <w:spacing w:beforeAutospacing="0" w:after="180" w:afterLines="0"/>
              <w:ind w:left="568" w:hanging="284"/>
              <w:rPr>
                <w:rFonts w:eastAsia="宋体"/>
                <w:szCs w:val="20"/>
                <w:lang w:eastAsia="en-US"/>
              </w:rPr>
            </w:pPr>
            <w:r>
              <w:rPr>
                <w:rFonts w:eastAsia="宋体"/>
                <w:szCs w:val="20"/>
                <w:lang w:eastAsia="en-US"/>
              </w:rPr>
              <w:t>-</w:t>
            </w:r>
            <w:r>
              <w:rPr>
                <w:rFonts w:eastAsia="宋体"/>
                <w:szCs w:val="20"/>
                <w:lang w:eastAsia="en-US"/>
              </w:rPr>
              <w:tab/>
            </w:r>
            <w:r>
              <w:rPr>
                <w:rFonts w:eastAsia="宋体"/>
                <w:szCs w:val="20"/>
                <w:lang w:eastAsia="ko-KR"/>
              </w:rPr>
              <w:t xml:space="preserve">else, </w:t>
            </w:r>
            <w:r>
              <w:rPr>
                <w:rFonts w:eastAsia="宋体"/>
                <w:szCs w:val="20"/>
              </w:rPr>
              <w:t xml:space="preserve">a UE splits a linear value </w:t>
            </w:r>
            <m:oMath>
              <m:sSub>
                <m:sSubPr>
                  <m:ctrlPr>
                    <w:rPr>
                      <w:rFonts w:ascii="Cambria Math" w:hAnsi="Cambria Math" w:eastAsia="宋体"/>
                      <w:iCs/>
                      <w:szCs w:val="20"/>
                      <w:lang w:val="zh-CN" w:eastAsia="en-US"/>
                    </w:rPr>
                  </m:ctrlPr>
                </m:sSubPr>
                <m:e>
                  <m:acc>
                    <m:accPr>
                      <m:ctrlPr>
                        <w:rPr>
                          <w:rFonts w:ascii="Cambria Math" w:hAnsi="Cambria Math" w:eastAsia="宋体"/>
                          <w:i/>
                          <w:szCs w:val="20"/>
                          <w:lang w:val="zh-CN" w:eastAsia="en-US"/>
                        </w:rPr>
                      </m:ctrlPr>
                    </m:accPr>
                    <m:e>
                      <m:r>
                        <m:rPr/>
                        <w:rPr>
                          <w:rFonts w:ascii="Cambria Math" w:hAnsi="Cambria Math" w:eastAsia="宋体"/>
                          <w:szCs w:val="20"/>
                          <w:lang w:val="zh-CN" w:eastAsia="en-US"/>
                        </w:rPr>
                        <m:t>P</m:t>
                      </m:r>
                      <m:ctrlPr>
                        <w:rPr>
                          <w:rFonts w:ascii="Cambria Math" w:hAnsi="Cambria Math" w:eastAsia="宋体"/>
                          <w:i/>
                          <w:szCs w:val="20"/>
                          <w:lang w:val="zh-CN" w:eastAsia="en-US"/>
                        </w:rPr>
                      </m:ctrlPr>
                    </m:e>
                  </m:acc>
                  <m:ctrlPr>
                    <w:rPr>
                      <w:rFonts w:ascii="Cambria Math" w:hAnsi="Cambria Math" w:eastAsia="宋体"/>
                      <w:iCs/>
                      <w:szCs w:val="20"/>
                      <w:lang w:val="zh-CN" w:eastAsia="en-US"/>
                    </w:rPr>
                  </m:ctrlPr>
                </m:e>
                <m:sub>
                  <m:r>
                    <m:rPr>
                      <m:nor/>
                      <m:sty m:val="p"/>
                    </m:rPr>
                    <w:rPr>
                      <w:rFonts w:ascii="Cambria Math" w:hAnsi="Cambria Math" w:eastAsia="宋体"/>
                      <w:iCs/>
                      <w:szCs w:val="20"/>
                      <w:lang w:eastAsia="en-US"/>
                    </w:rPr>
                    <m:t>SRS</m:t>
                  </m:r>
                  <m:r>
                    <m:rPr>
                      <m:sty m:val="p"/>
                    </m:rPr>
                    <w:rPr>
                      <w:rFonts w:ascii="Cambria Math" w:hAnsi="Cambria Math" w:eastAsia="宋体"/>
                      <w:szCs w:val="20"/>
                      <w:lang w:eastAsia="en-US"/>
                    </w:rPr>
                    <m:t>,</m:t>
                  </m:r>
                  <m:r>
                    <m:rPr/>
                    <w:rPr>
                      <w:rFonts w:ascii="Cambria Math" w:hAnsi="Cambria Math" w:eastAsia="宋体"/>
                      <w:szCs w:val="20"/>
                      <w:lang w:val="zh-CN" w:eastAsia="en-US"/>
                    </w:rPr>
                    <m:t>b</m:t>
                  </m:r>
                  <m:r>
                    <m:rPr>
                      <m:sty m:val="p"/>
                    </m:rPr>
                    <w:rPr>
                      <w:rFonts w:ascii="Cambria Math" w:hAnsi="Cambria Math" w:eastAsia="宋体"/>
                      <w:szCs w:val="20"/>
                      <w:lang w:eastAsia="en-US"/>
                    </w:rPr>
                    <m:t>,</m:t>
                  </m:r>
                  <m:r>
                    <m:rPr/>
                    <w:rPr>
                      <w:rFonts w:ascii="Cambria Math" w:hAnsi="Cambria Math" w:eastAsia="宋体"/>
                      <w:szCs w:val="20"/>
                      <w:lang w:val="zh-CN" w:eastAsia="en-US"/>
                    </w:rPr>
                    <m:t>f</m:t>
                  </m:r>
                  <m:r>
                    <m:rPr>
                      <m:sty m:val="p"/>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i</m:t>
              </m:r>
              <m:r>
                <m:rPr>
                  <m:sty m:val="p"/>
                </m:rPr>
                <w:rPr>
                  <w:rFonts w:ascii="Cambria Math" w:hAnsi="Cambria Math" w:eastAsia="宋体"/>
                  <w:szCs w:val="20"/>
                  <w:lang w:eastAsia="en-US"/>
                </w:rPr>
                <m:t>,</m:t>
              </m:r>
              <m:sSub>
                <m:sSubPr>
                  <m:ctrlPr>
                    <w:rPr>
                      <w:rFonts w:ascii="Cambria Math" w:hAnsi="Cambria Math" w:eastAsia="宋体"/>
                      <w:iCs/>
                      <w:szCs w:val="20"/>
                      <w:lang w:val="zh-CN" w:eastAsia="en-US"/>
                    </w:rPr>
                  </m:ctrlPr>
                </m:sSubPr>
                <m:e>
                  <m:r>
                    <m:rPr/>
                    <w:rPr>
                      <w:rFonts w:ascii="Cambria Math" w:hAnsi="Cambria Math" w:eastAsia="宋体"/>
                      <w:szCs w:val="20"/>
                      <w:lang w:val="zh-CN" w:eastAsia="en-US"/>
                    </w:rPr>
                    <m:t>q</m:t>
                  </m:r>
                  <m:ctrlPr>
                    <w:rPr>
                      <w:rFonts w:ascii="Cambria Math" w:hAnsi="Cambria Math" w:eastAsia="宋体"/>
                      <w:iCs/>
                      <w:szCs w:val="20"/>
                      <w:lang w:val="zh-CN" w:eastAsia="en-US"/>
                    </w:rPr>
                  </m:ctrlPr>
                </m:e>
                <m:sub>
                  <m:r>
                    <m:rPr/>
                    <w:rPr>
                      <w:rFonts w:ascii="Cambria Math" w:hAnsi="Cambria Math" w:eastAsia="宋体"/>
                      <w:szCs w:val="20"/>
                      <w:lang w:val="zh-CN" w:eastAsia="en-US"/>
                    </w:rPr>
                    <m:t>s</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l</m:t>
              </m:r>
              <m:r>
                <m:rPr>
                  <m:sty m:val="p"/>
                </m:rPr>
                <w:rPr>
                  <w:rFonts w:ascii="Cambria Math" w:hAnsi="Cambria Math" w:eastAsia="宋体"/>
                  <w:szCs w:val="20"/>
                  <w:lang w:eastAsia="en-US"/>
                </w:rPr>
                <m:t>)</m:t>
              </m:r>
            </m:oMath>
            <w:r>
              <w:rPr>
                <w:rFonts w:eastAsia="宋体"/>
                <w:szCs w:val="20"/>
                <w:lang w:eastAsia="en-US"/>
              </w:rPr>
              <w:t xml:space="preserve"> </w:t>
            </w:r>
            <w:r>
              <w:rPr>
                <w:rFonts w:eastAsia="宋体"/>
                <w:szCs w:val="20"/>
              </w:rPr>
              <w:t>of the transmit power</w:t>
            </w:r>
            <w:r>
              <w:rPr>
                <w:rFonts w:eastAsia="宋体"/>
                <w:szCs w:val="20"/>
                <w:lang w:eastAsia="en-US"/>
              </w:rPr>
              <w:t xml:space="preserve"> </w:t>
            </w:r>
            <m:oMath>
              <m:sSub>
                <m:sSubPr>
                  <m:ctrlPr>
                    <w:rPr>
                      <w:rFonts w:ascii="Cambria Math" w:hAnsi="Cambria Math" w:eastAsia="宋体"/>
                      <w:iCs/>
                      <w:szCs w:val="20"/>
                      <w:lang w:val="zh-CN" w:eastAsia="en-US"/>
                    </w:rPr>
                  </m:ctrlPr>
                </m:sSubPr>
                <m:e>
                  <m:r>
                    <m:rPr/>
                    <w:rPr>
                      <w:rFonts w:ascii="Cambria Math" w:hAnsi="Cambria Math" w:eastAsia="宋体"/>
                      <w:szCs w:val="20"/>
                      <w:lang w:val="zh-CN" w:eastAsia="en-US"/>
                    </w:rPr>
                    <m:t>P</m:t>
                  </m:r>
                  <m:ctrlPr>
                    <w:rPr>
                      <w:rFonts w:ascii="Cambria Math" w:hAnsi="Cambria Math" w:eastAsia="宋体"/>
                      <w:iCs/>
                      <w:szCs w:val="20"/>
                      <w:lang w:val="zh-CN" w:eastAsia="en-US"/>
                    </w:rPr>
                  </m:ctrlPr>
                </m:e>
                <m:sub>
                  <m:r>
                    <m:rPr>
                      <m:nor/>
                      <m:sty m:val="p"/>
                    </m:rPr>
                    <w:rPr>
                      <w:rFonts w:ascii="Cambria Math" w:hAnsi="Cambria Math" w:eastAsia="宋体"/>
                      <w:iCs/>
                      <w:szCs w:val="20"/>
                      <w:lang w:eastAsia="en-US"/>
                    </w:rPr>
                    <m:t>SRS</m:t>
                  </m:r>
                  <m:r>
                    <m:rPr>
                      <m:sty m:val="p"/>
                    </m:rPr>
                    <w:rPr>
                      <w:rFonts w:ascii="Cambria Math" w:hAnsi="Cambria Math" w:eastAsia="宋体"/>
                      <w:szCs w:val="20"/>
                      <w:lang w:eastAsia="en-US"/>
                    </w:rPr>
                    <m:t>,</m:t>
                  </m:r>
                  <m:r>
                    <m:rPr/>
                    <w:rPr>
                      <w:rFonts w:ascii="Cambria Math" w:hAnsi="Cambria Math" w:eastAsia="宋体"/>
                      <w:szCs w:val="20"/>
                      <w:lang w:val="zh-CN" w:eastAsia="en-US"/>
                    </w:rPr>
                    <m:t>b</m:t>
                  </m:r>
                  <m:r>
                    <m:rPr>
                      <m:sty m:val="p"/>
                    </m:rPr>
                    <w:rPr>
                      <w:rFonts w:ascii="Cambria Math" w:hAnsi="Cambria Math" w:eastAsia="宋体"/>
                      <w:szCs w:val="20"/>
                      <w:lang w:eastAsia="en-US"/>
                    </w:rPr>
                    <m:t>,</m:t>
                  </m:r>
                  <m:r>
                    <m:rPr/>
                    <w:rPr>
                      <w:rFonts w:ascii="Cambria Math" w:hAnsi="Cambria Math" w:eastAsia="宋体"/>
                      <w:szCs w:val="20"/>
                      <w:lang w:val="zh-CN" w:eastAsia="en-US"/>
                    </w:rPr>
                    <m:t>f</m:t>
                  </m:r>
                  <m:r>
                    <m:rPr>
                      <m:sty m:val="p"/>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i</m:t>
              </m:r>
              <m:r>
                <m:rPr>
                  <m:sty m:val="p"/>
                </m:rPr>
                <w:rPr>
                  <w:rFonts w:ascii="Cambria Math" w:hAnsi="Cambria Math" w:eastAsia="宋体"/>
                  <w:szCs w:val="20"/>
                  <w:lang w:eastAsia="en-US"/>
                </w:rPr>
                <m:t>,</m:t>
              </m:r>
              <m:sSub>
                <m:sSubPr>
                  <m:ctrlPr>
                    <w:rPr>
                      <w:rFonts w:ascii="Cambria Math" w:hAnsi="Cambria Math" w:eastAsia="宋体"/>
                      <w:iCs/>
                      <w:szCs w:val="20"/>
                      <w:lang w:val="zh-CN" w:eastAsia="en-US"/>
                    </w:rPr>
                  </m:ctrlPr>
                </m:sSubPr>
                <m:e>
                  <m:r>
                    <m:rPr/>
                    <w:rPr>
                      <w:rFonts w:ascii="Cambria Math" w:hAnsi="Cambria Math" w:eastAsia="宋体"/>
                      <w:szCs w:val="20"/>
                      <w:lang w:val="zh-CN" w:eastAsia="en-US"/>
                    </w:rPr>
                    <m:t>q</m:t>
                  </m:r>
                  <m:ctrlPr>
                    <w:rPr>
                      <w:rFonts w:ascii="Cambria Math" w:hAnsi="Cambria Math" w:eastAsia="宋体"/>
                      <w:iCs/>
                      <w:szCs w:val="20"/>
                      <w:lang w:val="zh-CN" w:eastAsia="en-US"/>
                    </w:rPr>
                  </m:ctrlPr>
                </m:e>
                <m:sub>
                  <m:r>
                    <m:rPr/>
                    <w:rPr>
                      <w:rFonts w:ascii="Cambria Math" w:hAnsi="Cambria Math" w:eastAsia="宋体"/>
                      <w:szCs w:val="20"/>
                      <w:lang w:val="zh-CN" w:eastAsia="en-US"/>
                    </w:rPr>
                    <m:t>s</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l</m:t>
              </m:r>
              <m:r>
                <m:rPr>
                  <m:sty m:val="p"/>
                </m:rPr>
                <w:rPr>
                  <w:rFonts w:ascii="Cambria Math" w:hAnsi="Cambria Math" w:eastAsia="宋体"/>
                  <w:szCs w:val="20"/>
                  <w:lang w:eastAsia="en-US"/>
                </w:rPr>
                <m:t>)</m:t>
              </m:r>
            </m:oMath>
            <w:r>
              <w:rPr>
                <w:rFonts w:eastAsia="宋体"/>
                <w:iCs/>
                <w:szCs w:val="20"/>
                <w:lang w:eastAsia="en-US"/>
              </w:rPr>
              <w:t xml:space="preserve"> </w:t>
            </w:r>
            <w:r>
              <w:rPr>
                <w:rFonts w:eastAsia="宋体"/>
                <w:szCs w:val="20"/>
              </w:rPr>
              <w:t xml:space="preserve">on active </w:t>
            </w:r>
            <w:r>
              <w:rPr>
                <w:rFonts w:eastAsia="宋体"/>
                <w:szCs w:val="20"/>
                <w:lang w:eastAsia="en-US"/>
              </w:rPr>
              <w:t xml:space="preserve">UL BWP </w:t>
            </w:r>
            <m:oMath>
              <m:r>
                <m:rPr/>
                <w:rPr>
                  <w:rFonts w:ascii="Cambria Math" w:hAnsi="Cambria Math" w:eastAsia="宋体"/>
                  <w:szCs w:val="20"/>
                  <w:lang w:val="zh-CN" w:eastAsia="en-US"/>
                </w:rPr>
                <m:t>b</m:t>
              </m:r>
            </m:oMath>
            <w:r>
              <w:rPr>
                <w:rFonts w:eastAsia="宋体"/>
                <w:iCs/>
                <w:szCs w:val="20"/>
                <w:lang w:eastAsia="en-US"/>
              </w:rPr>
              <w:t xml:space="preserve"> </w:t>
            </w:r>
            <w:r>
              <w:rPr>
                <w:rFonts w:eastAsia="宋体"/>
                <w:szCs w:val="20"/>
                <w:lang w:eastAsia="en-US"/>
              </w:rPr>
              <w:t xml:space="preserve">of carrier </w:t>
            </w:r>
            <m:oMath>
              <m:r>
                <m:rPr/>
                <w:rPr>
                  <w:rFonts w:ascii="Cambria Math" w:hAnsi="Cambria Math" w:eastAsia="宋体"/>
                  <w:szCs w:val="20"/>
                  <w:lang w:eastAsia="en-US"/>
                </w:rPr>
                <m:t>f</m:t>
              </m:r>
            </m:oMath>
            <w:r>
              <w:rPr>
                <w:rFonts w:eastAsia="宋体"/>
                <w:iCs/>
                <w:szCs w:val="20"/>
                <w:lang w:eastAsia="en-US"/>
              </w:rPr>
              <w:t xml:space="preserve"> </w:t>
            </w:r>
            <w:r>
              <w:rPr>
                <w:rFonts w:eastAsia="宋体"/>
                <w:szCs w:val="20"/>
                <w:lang w:eastAsia="en-US"/>
              </w:rPr>
              <w:t xml:space="preserve">of serving cell </w:t>
            </w:r>
            <m:oMath>
              <m:r>
                <m:rPr/>
                <w:rPr>
                  <w:rFonts w:ascii="Cambria Math" w:hAnsi="Cambria Math" w:eastAsia="宋体"/>
                  <w:szCs w:val="20"/>
                  <w:lang w:val="zh-CN" w:eastAsia="en-US"/>
                </w:rPr>
                <m:t>c</m:t>
              </m:r>
            </m:oMath>
            <w:r>
              <w:rPr>
                <w:rFonts w:eastAsia="宋体"/>
                <w:szCs w:val="20"/>
                <w:lang w:eastAsia="en-US"/>
              </w:rPr>
              <w:t xml:space="preserve"> </w:t>
            </w:r>
            <w:r>
              <w:rPr>
                <w:rFonts w:eastAsia="宋体"/>
                <w:szCs w:val="20"/>
              </w:rPr>
              <w:t>equally across the SRS ports of each SRS resource of an SRS resource set in a symbol for SRS transmission</w:t>
            </w:r>
            <w:r>
              <w:rPr>
                <w:rFonts w:eastAsia="宋体"/>
                <w:szCs w:val="20"/>
                <w:lang w:eastAsia="en-US"/>
              </w:rPr>
              <w:t xml:space="preserve">. </w:t>
            </w:r>
          </w:p>
          <w:p>
            <w:pPr>
              <w:keepNext/>
              <w:keepLines/>
              <w:adjustRightInd w:val="0"/>
              <w:spacing w:before="120" w:beforeAutospacing="0" w:after="180" w:afterLines="0"/>
              <w:outlineLvl w:val="2"/>
              <w:rPr>
                <w:rFonts w:ascii="Arial" w:hAnsi="Arial" w:eastAsia="宋体" w:cs="Arial"/>
                <w:sz w:val="28"/>
                <w:szCs w:val="20"/>
                <w:lang w:val="en-GB" w:eastAsia="en-US"/>
              </w:rPr>
            </w:pPr>
            <w:r>
              <w:rPr>
                <w:rFonts w:ascii="Arial" w:hAnsi="Arial" w:eastAsia="宋体" w:cs="Arial"/>
                <w:sz w:val="28"/>
                <w:szCs w:val="20"/>
                <w:lang w:val="en-GB" w:eastAsia="en-US"/>
              </w:rPr>
              <w:t>7.3.1</w:t>
            </w:r>
            <w:r>
              <w:rPr>
                <w:rFonts w:ascii="Arial" w:hAnsi="Arial" w:eastAsia="宋体" w:cs="Arial"/>
                <w:sz w:val="28"/>
                <w:szCs w:val="20"/>
                <w:lang w:val="en-GB" w:eastAsia="en-US"/>
              </w:rPr>
              <w:tab/>
            </w:r>
            <w:r>
              <w:rPr>
                <w:rFonts w:ascii="Arial" w:hAnsi="Arial" w:eastAsia="宋体" w:cs="Arial"/>
                <w:sz w:val="28"/>
                <w:szCs w:val="20"/>
                <w:lang w:val="en-GB" w:eastAsia="en-US"/>
              </w:rPr>
              <w:t>UE behaviour</w:t>
            </w:r>
          </w:p>
          <w:p>
            <w:pPr>
              <w:adjustRightInd w:val="0"/>
              <w:spacing w:before="180" w:beforeLines="50" w:beforeAutospacing="0" w:after="0" w:afterLines="0"/>
              <w:jc w:val="center"/>
              <w:rPr>
                <w:rFonts w:eastAsia="宋体"/>
                <w:color w:val="FF0000"/>
                <w:szCs w:val="20"/>
              </w:rPr>
            </w:pPr>
            <w:r>
              <w:rPr>
                <w:rFonts w:eastAsia="宋体"/>
                <w:color w:val="FF0000"/>
                <w:szCs w:val="20"/>
              </w:rPr>
              <w:t>&lt;Unrelated parts are omitted&gt;</w:t>
            </w:r>
          </w:p>
          <w:p>
            <w:pPr>
              <w:adjustRightInd w:val="0"/>
              <w:spacing w:beforeAutospacing="0" w:after="180" w:afterLines="0"/>
              <w:ind w:left="568" w:hanging="284"/>
              <w:rPr>
                <w:rFonts w:eastAsia="宋体"/>
                <w:szCs w:val="20"/>
                <w:lang w:eastAsia="en-US"/>
              </w:rPr>
            </w:pPr>
            <w:r>
              <w:rPr>
                <w:rFonts w:eastAsia="宋体"/>
                <w:szCs w:val="20"/>
                <w:lang w:eastAsia="en-US"/>
              </w:rPr>
              <w:t>-</w:t>
            </w:r>
            <w:r>
              <w:rPr>
                <w:rFonts w:eastAsia="宋体"/>
                <w:szCs w:val="20"/>
                <w:lang w:eastAsia="en-US"/>
              </w:rPr>
              <w:tab/>
            </w:r>
            <w:r>
              <w:rPr>
                <w:rFonts w:eastAsia="宋体"/>
                <w:szCs w:val="20"/>
                <w:lang w:eastAsia="en-US"/>
              </w:rPr>
              <w:t xml:space="preserve">For the SRS power control adjustment state for active UL BWP </w:t>
            </w:r>
            <m:oMath>
              <m:r>
                <m:rPr/>
                <w:rPr>
                  <w:rFonts w:ascii="Cambria Math" w:hAnsi="Cambria Math" w:eastAsia="宋体"/>
                  <w:szCs w:val="20"/>
                  <w:lang w:val="zh-CN" w:eastAsia="en-US"/>
                </w:rPr>
                <m:t>b</m:t>
              </m:r>
            </m:oMath>
            <w:r>
              <w:rPr>
                <w:rFonts w:eastAsia="宋体"/>
                <w:iCs/>
                <w:szCs w:val="20"/>
                <w:lang w:eastAsia="en-US"/>
              </w:rPr>
              <w:t xml:space="preserve"> </w:t>
            </w:r>
            <w:r>
              <w:rPr>
                <w:rFonts w:eastAsia="宋体"/>
                <w:szCs w:val="20"/>
                <w:lang w:eastAsia="en-US"/>
              </w:rPr>
              <w:t xml:space="preserve">of carrier </w:t>
            </w:r>
            <m:oMath>
              <m:r>
                <m:rPr/>
                <w:rPr>
                  <w:rFonts w:ascii="Cambria Math" w:hAnsi="Cambria Math" w:eastAsia="宋体"/>
                  <w:szCs w:val="20"/>
                  <w:lang w:val="zh-CN" w:eastAsia="en-US"/>
                </w:rPr>
                <m:t>f</m:t>
              </m:r>
            </m:oMath>
            <w:r>
              <w:rPr>
                <w:rFonts w:eastAsia="宋体"/>
                <w:iCs/>
                <w:szCs w:val="20"/>
                <w:lang w:eastAsia="en-US"/>
              </w:rPr>
              <w:t xml:space="preserve"> of</w:t>
            </w:r>
            <w:r>
              <w:rPr>
                <w:rFonts w:eastAsia="宋体"/>
                <w:szCs w:val="20"/>
                <w:lang w:eastAsia="en-US"/>
              </w:rPr>
              <w:t xml:space="preserve"> serving cell </w:t>
            </w:r>
            <m:oMath>
              <m:r>
                <m:rPr/>
                <w:rPr>
                  <w:rFonts w:ascii="Cambria Math" w:hAnsi="Cambria Math" w:eastAsia="宋体"/>
                  <w:szCs w:val="20"/>
                  <w:lang w:val="zh-CN" w:eastAsia="en-US"/>
                </w:rPr>
                <m:t>c</m:t>
              </m:r>
            </m:oMath>
            <w:r>
              <w:rPr>
                <w:rFonts w:eastAsia="宋体"/>
                <w:szCs w:val="20"/>
                <w:lang w:eastAsia="en-US"/>
              </w:rPr>
              <w:t xml:space="preserve"> and SRS transmission occasion </w:t>
            </w:r>
            <m:oMath>
              <m:r>
                <m:rPr/>
                <w:rPr>
                  <w:rFonts w:ascii="Cambria Math" w:hAnsi="Cambria Math" w:eastAsia="宋体"/>
                  <w:szCs w:val="20"/>
                  <w:lang w:val="zh-CN" w:eastAsia="en-US"/>
                </w:rPr>
                <m:t>i</m:t>
              </m:r>
            </m:oMath>
          </w:p>
          <w:p>
            <w:pPr>
              <w:adjustRightInd w:val="0"/>
              <w:spacing w:beforeAutospacing="0" w:after="180" w:afterLines="0"/>
              <w:ind w:left="851" w:hanging="284"/>
              <w:rPr>
                <w:rFonts w:eastAsia="宋体"/>
                <w:szCs w:val="20"/>
                <w:lang w:eastAsia="en-US"/>
              </w:rPr>
            </w:pPr>
            <w:r>
              <w:rPr>
                <w:rFonts w:eastAsia="宋体"/>
                <w:szCs w:val="20"/>
                <w:lang w:eastAsia="en-US"/>
              </w:rPr>
              <w:t>-</w:t>
            </w:r>
            <w:r>
              <w:rPr>
                <w:rFonts w:eastAsia="宋体"/>
                <w:szCs w:val="20"/>
                <w:lang w:eastAsia="en-US"/>
              </w:rPr>
              <w:tab/>
            </w:r>
            <m:oMath>
              <m:sSub>
                <m:sSubPr>
                  <m:ctrlPr>
                    <w:rPr>
                      <w:rFonts w:ascii="Cambria Math" w:hAnsi="Cambria Math" w:eastAsia="宋体"/>
                      <w:i/>
                      <w:szCs w:val="20"/>
                      <w:lang w:val="zh-CN" w:eastAsia="en-US"/>
                    </w:rPr>
                  </m:ctrlPr>
                </m:sSubPr>
                <m:e>
                  <m:r>
                    <m:rPr/>
                    <w:rPr>
                      <w:rFonts w:ascii="Cambria Math" w:hAnsi="Cambria Math" w:eastAsia="宋体"/>
                      <w:szCs w:val="20"/>
                      <w:lang w:eastAsia="en-US"/>
                    </w:rPr>
                    <m:t>ℎ</m:t>
                  </m:r>
                  <m:ctrlPr>
                    <w:rPr>
                      <w:rFonts w:ascii="Cambria Math" w:hAnsi="Cambria Math" w:eastAsia="宋体"/>
                      <w:i/>
                      <w:szCs w:val="20"/>
                      <w:lang w:val="zh-CN" w:eastAsia="en-US"/>
                    </w:rPr>
                  </m:ctrlPr>
                </m:e>
                <m:sub>
                  <m:r>
                    <m:rPr/>
                    <w:rPr>
                      <w:rFonts w:ascii="Cambria Math" w:hAnsi="Cambria Math" w:eastAsia="宋体"/>
                      <w:szCs w:val="20"/>
                      <w:lang w:val="zh-CN" w:eastAsia="en-US"/>
                    </w:rPr>
                    <m:t>b</m:t>
                  </m:r>
                  <m:r>
                    <m:rPr/>
                    <w:rPr>
                      <w:rFonts w:ascii="Cambria Math" w:hAnsi="Cambria Math" w:eastAsia="宋体"/>
                      <w:szCs w:val="20"/>
                      <w:lang w:eastAsia="en-US"/>
                    </w:rPr>
                    <m:t>,</m:t>
                  </m:r>
                  <m:r>
                    <m:rPr/>
                    <w:rPr>
                      <w:rFonts w:ascii="Cambria Math" w:hAnsi="Cambria Math" w:eastAsia="宋体"/>
                      <w:szCs w:val="20"/>
                      <w:lang w:val="zh-CN" w:eastAsia="en-US"/>
                    </w:rPr>
                    <m:t>f</m:t>
                  </m:r>
                  <m:r>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
                      <w:szCs w:val="20"/>
                      <w:lang w:val="zh-CN" w:eastAsia="en-US"/>
                    </w:rPr>
                  </m:ctrlPr>
                </m:sub>
              </m:sSub>
              <m:d>
                <m:dPr>
                  <m:ctrlPr>
                    <w:rPr>
                      <w:rFonts w:ascii="Cambria Math" w:hAnsi="Cambria Math" w:eastAsia="宋体"/>
                      <w:i/>
                      <w:szCs w:val="20"/>
                      <w:lang w:val="zh-CN" w:eastAsia="en-US"/>
                    </w:rPr>
                  </m:ctrlPr>
                </m:dPr>
                <m:e>
                  <m:r>
                    <m:rPr/>
                    <w:rPr>
                      <w:rFonts w:ascii="Cambria Math" w:hAnsi="Cambria Math" w:eastAsia="宋体"/>
                      <w:szCs w:val="20"/>
                      <w:lang w:val="zh-CN" w:eastAsia="en-US"/>
                    </w:rPr>
                    <m:t>i</m:t>
                  </m:r>
                  <m:r>
                    <m:rPr/>
                    <w:rPr>
                      <w:rFonts w:ascii="Cambria Math" w:hAnsi="Cambria Math" w:eastAsia="宋体"/>
                      <w:szCs w:val="20"/>
                      <w:lang w:eastAsia="en-US"/>
                    </w:rPr>
                    <m:t>,</m:t>
                  </m:r>
                  <m:r>
                    <m:rPr/>
                    <w:rPr>
                      <w:rFonts w:ascii="Cambria Math" w:hAnsi="Cambria Math" w:eastAsia="宋体"/>
                      <w:szCs w:val="20"/>
                      <w:lang w:val="zh-CN" w:eastAsia="en-US"/>
                    </w:rPr>
                    <m:t>l</m:t>
                  </m:r>
                  <m:ctrlPr>
                    <w:rPr>
                      <w:rFonts w:ascii="Cambria Math" w:hAnsi="Cambria Math" w:eastAsia="宋体"/>
                      <w:i/>
                      <w:szCs w:val="20"/>
                      <w:lang w:val="zh-CN" w:eastAsia="en-US"/>
                    </w:rPr>
                  </m:ctrlPr>
                </m:e>
              </m:d>
              <m:r>
                <m:rPr/>
                <w:rPr>
                  <w:rFonts w:ascii="Cambria Math" w:hAnsi="Cambria Math" w:eastAsia="宋体"/>
                  <w:szCs w:val="20"/>
                  <w:lang w:eastAsia="en-US"/>
                </w:rPr>
                <m:t>=</m:t>
              </m:r>
              <m:sSub>
                <m:sSubPr>
                  <m:ctrlPr>
                    <w:rPr>
                      <w:rFonts w:ascii="Cambria Math" w:hAnsi="Cambria Math" w:eastAsia="宋体"/>
                      <w:i/>
                      <w:szCs w:val="20"/>
                      <w:lang w:val="zh-CN" w:eastAsia="en-US"/>
                    </w:rPr>
                  </m:ctrlPr>
                </m:sSubPr>
                <m:e>
                  <m:r>
                    <m:rPr/>
                    <w:rPr>
                      <w:rFonts w:ascii="Cambria Math" w:hAnsi="Cambria Math" w:eastAsia="宋体"/>
                      <w:szCs w:val="20"/>
                      <w:lang w:val="zh-CN" w:eastAsia="en-US"/>
                    </w:rPr>
                    <m:t>f</m:t>
                  </m:r>
                  <m:ctrlPr>
                    <w:rPr>
                      <w:rFonts w:ascii="Cambria Math" w:hAnsi="Cambria Math" w:eastAsia="宋体"/>
                      <w:i/>
                      <w:szCs w:val="20"/>
                      <w:lang w:val="zh-CN" w:eastAsia="en-US"/>
                    </w:rPr>
                  </m:ctrlPr>
                </m:e>
                <m:sub>
                  <m:r>
                    <m:rPr/>
                    <w:rPr>
                      <w:rFonts w:ascii="Cambria Math" w:hAnsi="Cambria Math" w:eastAsia="宋体"/>
                      <w:szCs w:val="20"/>
                      <w:lang w:val="zh-CN" w:eastAsia="en-US"/>
                    </w:rPr>
                    <m:t>b</m:t>
                  </m:r>
                  <m:r>
                    <m:rPr/>
                    <w:rPr>
                      <w:rFonts w:ascii="Cambria Math" w:hAnsi="Cambria Math" w:eastAsia="宋体"/>
                      <w:szCs w:val="20"/>
                      <w:lang w:eastAsia="en-US"/>
                    </w:rPr>
                    <m:t>,</m:t>
                  </m:r>
                  <m:r>
                    <m:rPr/>
                    <w:rPr>
                      <w:rFonts w:ascii="Cambria Math" w:hAnsi="Cambria Math" w:eastAsia="宋体"/>
                      <w:szCs w:val="20"/>
                      <w:lang w:val="zh-CN" w:eastAsia="en-US"/>
                    </w:rPr>
                    <m:t>f</m:t>
                  </m:r>
                  <m:r>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
                      <w:szCs w:val="20"/>
                      <w:lang w:val="zh-CN" w:eastAsia="en-US"/>
                    </w:rPr>
                  </m:ctrlPr>
                </m:sub>
              </m:sSub>
              <m:d>
                <m:dPr>
                  <m:ctrlPr>
                    <w:rPr>
                      <w:rFonts w:ascii="Cambria Math" w:hAnsi="Cambria Math" w:eastAsia="宋体"/>
                      <w:i/>
                      <w:szCs w:val="20"/>
                      <w:lang w:val="zh-CN" w:eastAsia="en-US"/>
                    </w:rPr>
                  </m:ctrlPr>
                </m:dPr>
                <m:e>
                  <m:r>
                    <m:rPr/>
                    <w:rPr>
                      <w:rFonts w:ascii="Cambria Math" w:hAnsi="Cambria Math" w:eastAsia="宋体"/>
                      <w:szCs w:val="20"/>
                      <w:lang w:val="zh-CN" w:eastAsia="en-US"/>
                    </w:rPr>
                    <m:t>i</m:t>
                  </m:r>
                  <m:r>
                    <m:rPr/>
                    <w:rPr>
                      <w:rFonts w:ascii="Cambria Math" w:hAnsi="Cambria Math" w:eastAsia="宋体"/>
                      <w:szCs w:val="20"/>
                      <w:lang w:eastAsia="en-US"/>
                    </w:rPr>
                    <m:t>,</m:t>
                  </m:r>
                  <m:r>
                    <m:rPr/>
                    <w:rPr>
                      <w:rFonts w:ascii="Cambria Math" w:hAnsi="Cambria Math" w:eastAsia="宋体"/>
                      <w:szCs w:val="20"/>
                      <w:lang w:val="zh-CN" w:eastAsia="en-US"/>
                    </w:rPr>
                    <m:t>l</m:t>
                  </m:r>
                  <m:ctrlPr>
                    <w:rPr>
                      <w:rFonts w:ascii="Cambria Math" w:hAnsi="Cambria Math" w:eastAsia="宋体"/>
                      <w:i/>
                      <w:szCs w:val="20"/>
                      <w:lang w:val="zh-CN" w:eastAsia="en-US"/>
                    </w:rPr>
                  </m:ctrlPr>
                </m:e>
              </m:d>
            </m:oMath>
            <w:r>
              <w:rPr>
                <w:rFonts w:eastAsia="宋体"/>
                <w:szCs w:val="20"/>
                <w:lang w:eastAsia="en-US"/>
              </w:rPr>
              <w:t xml:space="preserve">, where </w:t>
            </w:r>
            <m:oMath>
              <m:sSub>
                <m:sSubPr>
                  <m:ctrlPr>
                    <w:rPr>
                      <w:rFonts w:ascii="Cambria Math" w:hAnsi="Cambria Math" w:eastAsia="宋体"/>
                      <w:i/>
                      <w:szCs w:val="20"/>
                      <w:lang w:val="zh-CN" w:eastAsia="en-US"/>
                    </w:rPr>
                  </m:ctrlPr>
                </m:sSubPr>
                <m:e>
                  <m:r>
                    <m:rPr/>
                    <w:rPr>
                      <w:rFonts w:ascii="Cambria Math" w:hAnsi="Cambria Math" w:eastAsia="宋体"/>
                      <w:szCs w:val="20"/>
                      <w:lang w:val="zh-CN" w:eastAsia="en-US"/>
                    </w:rPr>
                    <m:t>f</m:t>
                  </m:r>
                  <m:ctrlPr>
                    <w:rPr>
                      <w:rFonts w:ascii="Cambria Math" w:hAnsi="Cambria Math" w:eastAsia="宋体"/>
                      <w:i/>
                      <w:szCs w:val="20"/>
                      <w:lang w:val="zh-CN" w:eastAsia="en-US"/>
                    </w:rPr>
                  </m:ctrlPr>
                </m:e>
                <m:sub>
                  <m:r>
                    <m:rPr/>
                    <w:rPr>
                      <w:rFonts w:ascii="Cambria Math" w:hAnsi="Cambria Math" w:eastAsia="宋体"/>
                      <w:szCs w:val="20"/>
                      <w:lang w:val="zh-CN" w:eastAsia="en-US"/>
                    </w:rPr>
                    <m:t>b</m:t>
                  </m:r>
                  <m:r>
                    <m:rPr/>
                    <w:rPr>
                      <w:rFonts w:ascii="Cambria Math" w:hAnsi="Cambria Math" w:eastAsia="宋体"/>
                      <w:szCs w:val="20"/>
                      <w:lang w:eastAsia="en-US"/>
                    </w:rPr>
                    <m:t>,</m:t>
                  </m:r>
                  <m:r>
                    <m:rPr/>
                    <w:rPr>
                      <w:rFonts w:ascii="Cambria Math" w:hAnsi="Cambria Math" w:eastAsia="宋体"/>
                      <w:szCs w:val="20"/>
                      <w:lang w:val="zh-CN" w:eastAsia="en-US"/>
                    </w:rPr>
                    <m:t>f</m:t>
                  </m:r>
                  <m:r>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
                      <w:szCs w:val="20"/>
                      <w:lang w:val="zh-CN" w:eastAsia="en-US"/>
                    </w:rPr>
                  </m:ctrlPr>
                </m:sub>
              </m:sSub>
              <m:d>
                <m:dPr>
                  <m:ctrlPr>
                    <w:rPr>
                      <w:rFonts w:ascii="Cambria Math" w:hAnsi="Cambria Math" w:eastAsia="宋体"/>
                      <w:i/>
                      <w:szCs w:val="20"/>
                      <w:lang w:val="zh-CN" w:eastAsia="en-US"/>
                    </w:rPr>
                  </m:ctrlPr>
                </m:dPr>
                <m:e>
                  <m:r>
                    <m:rPr/>
                    <w:rPr>
                      <w:rFonts w:ascii="Cambria Math" w:hAnsi="Cambria Math" w:eastAsia="宋体"/>
                      <w:szCs w:val="20"/>
                      <w:lang w:val="zh-CN" w:eastAsia="en-US"/>
                    </w:rPr>
                    <m:t>i</m:t>
                  </m:r>
                  <m:r>
                    <m:rPr/>
                    <w:rPr>
                      <w:rFonts w:ascii="Cambria Math" w:hAnsi="Cambria Math" w:eastAsia="宋体"/>
                      <w:szCs w:val="20"/>
                      <w:lang w:eastAsia="en-US"/>
                    </w:rPr>
                    <m:t>,</m:t>
                  </m:r>
                  <m:r>
                    <m:rPr/>
                    <w:rPr>
                      <w:rFonts w:ascii="Cambria Math" w:hAnsi="Cambria Math" w:eastAsia="宋体"/>
                      <w:szCs w:val="20"/>
                      <w:lang w:val="zh-CN" w:eastAsia="en-US"/>
                    </w:rPr>
                    <m:t>l</m:t>
                  </m:r>
                  <m:ctrlPr>
                    <w:rPr>
                      <w:rFonts w:ascii="Cambria Math" w:hAnsi="Cambria Math" w:eastAsia="宋体"/>
                      <w:i/>
                      <w:szCs w:val="20"/>
                      <w:lang w:val="zh-CN" w:eastAsia="en-US"/>
                    </w:rPr>
                  </m:ctrlPr>
                </m:e>
              </m:d>
            </m:oMath>
            <w:r>
              <w:rPr>
                <w:rFonts w:eastAsia="宋体"/>
                <w:szCs w:val="20"/>
                <w:lang w:eastAsia="en-US"/>
              </w:rPr>
              <w:t xml:space="preserve"> is the current PUSCH power control adjustment state as described in clause 7.1.1, if </w:t>
            </w:r>
            <w:r>
              <w:rPr>
                <w:rFonts w:eastAsia="宋体"/>
                <w:i/>
                <w:szCs w:val="20"/>
                <w:lang w:eastAsia="en-US"/>
              </w:rPr>
              <w:t>srs-PowerControlAdjustmentStates</w:t>
            </w:r>
            <w:r>
              <w:rPr>
                <w:rFonts w:eastAsia="宋体"/>
                <w:szCs w:val="20"/>
                <w:lang w:eastAsia="en-US"/>
              </w:rPr>
              <w:t xml:space="preserve"> indicates a same power control adjustment state for SRS transmissions and PUSCH transmissions; or</w:t>
            </w:r>
          </w:p>
          <w:p>
            <w:pPr>
              <w:adjustRightInd w:val="0"/>
              <w:spacing w:beforeAutospacing="0" w:after="180" w:afterLines="0"/>
              <w:ind w:left="851" w:hanging="284"/>
              <w:rPr>
                <w:rFonts w:eastAsia="宋体"/>
                <w:szCs w:val="20"/>
                <w:highlight w:val="cyan"/>
                <w:lang w:eastAsia="en-US"/>
              </w:rPr>
            </w:pPr>
            <w:r>
              <w:rPr>
                <w:rFonts w:eastAsia="宋体"/>
                <w:szCs w:val="20"/>
                <w:highlight w:val="cyan"/>
                <w:lang w:eastAsia="en-US"/>
              </w:rPr>
              <w:t>-</w:t>
            </w:r>
            <w:r>
              <w:rPr>
                <w:rFonts w:eastAsia="宋体"/>
                <w:szCs w:val="20"/>
                <w:highlight w:val="cyan"/>
                <w:lang w:eastAsia="en-US"/>
              </w:rPr>
              <w:tab/>
            </w:r>
            <w:r>
              <w:rPr>
                <w:rFonts w:eastAsia="宋体"/>
                <w:position w:val="-24"/>
                <w:szCs w:val="20"/>
                <w:highlight w:val="cyan"/>
                <w:lang w:val="zh-CN" w:eastAsia="en-US"/>
              </w:rPr>
              <w:drawing>
                <wp:inline distT="0" distB="0" distL="0" distR="0">
                  <wp:extent cx="2032635" cy="351155"/>
                  <wp:effectExtent l="0" t="0" r="0" b="0"/>
                  <wp:docPr id="5"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5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32635" cy="351155"/>
                          </a:xfrm>
                          <a:prstGeom prst="rect">
                            <a:avLst/>
                          </a:prstGeom>
                          <a:noFill/>
                          <a:ln>
                            <a:noFill/>
                          </a:ln>
                        </pic:spPr>
                      </pic:pic>
                    </a:graphicData>
                  </a:graphic>
                </wp:inline>
              </w:drawing>
            </w:r>
            <w:r>
              <w:rPr>
                <w:rFonts w:eastAsia="宋体"/>
                <w:szCs w:val="20"/>
                <w:highlight w:val="cyan"/>
                <w:lang w:eastAsia="en-US"/>
              </w:rPr>
              <w:t xml:space="preserve"> if the UE is not configured for PUSCH transmissions on active UL BWP </w:t>
            </w:r>
            <m:oMath>
              <m:r>
                <m:rPr/>
                <w:rPr>
                  <w:rFonts w:ascii="Cambria Math" w:hAnsi="Cambria Math" w:eastAsia="宋体"/>
                  <w:szCs w:val="20"/>
                  <w:highlight w:val="cyan"/>
                  <w:lang w:val="zh-CN" w:eastAsia="en-US"/>
                </w:rPr>
                <m:t>b</m:t>
              </m:r>
            </m:oMath>
            <w:r>
              <w:rPr>
                <w:rFonts w:eastAsia="宋体"/>
                <w:iCs/>
                <w:szCs w:val="20"/>
                <w:highlight w:val="cyan"/>
                <w:lang w:eastAsia="en-US"/>
              </w:rPr>
              <w:t xml:space="preserve"> </w:t>
            </w:r>
            <w:r>
              <w:rPr>
                <w:rFonts w:eastAsia="宋体"/>
                <w:szCs w:val="20"/>
                <w:highlight w:val="cyan"/>
                <w:lang w:eastAsia="en-US"/>
              </w:rPr>
              <w:t xml:space="preserve">of carrier </w:t>
            </w:r>
            <m:oMath>
              <m:r>
                <m:rPr/>
                <w:rPr>
                  <w:rFonts w:ascii="Cambria Math" w:hAnsi="Cambria Math" w:eastAsia="宋体"/>
                  <w:szCs w:val="20"/>
                  <w:highlight w:val="cyan"/>
                  <w:lang w:val="zh-CN" w:eastAsia="en-US"/>
                </w:rPr>
                <m:t>f</m:t>
              </m:r>
            </m:oMath>
            <w:r>
              <w:rPr>
                <w:rFonts w:eastAsia="宋体"/>
                <w:iCs/>
                <w:szCs w:val="20"/>
                <w:highlight w:val="cyan"/>
                <w:lang w:eastAsia="en-US"/>
              </w:rPr>
              <w:t xml:space="preserve"> of</w:t>
            </w:r>
            <w:r>
              <w:rPr>
                <w:rFonts w:eastAsia="宋体"/>
                <w:szCs w:val="20"/>
                <w:highlight w:val="cyan"/>
                <w:lang w:eastAsia="en-US"/>
              </w:rPr>
              <w:t xml:space="preserve"> serving cell </w:t>
            </w:r>
            <m:oMath>
              <m:r>
                <m:rPr/>
                <w:rPr>
                  <w:rFonts w:ascii="Cambria Math" w:hAnsi="Cambria Math" w:eastAsia="宋体"/>
                  <w:szCs w:val="20"/>
                  <w:highlight w:val="cyan"/>
                  <w:lang w:val="zh-CN" w:eastAsia="en-US"/>
                </w:rPr>
                <m:t>c</m:t>
              </m:r>
            </m:oMath>
            <w:r>
              <w:rPr>
                <w:rFonts w:eastAsia="宋体"/>
                <w:iCs/>
                <w:szCs w:val="20"/>
                <w:highlight w:val="cyan"/>
                <w:lang w:eastAsia="en-US"/>
              </w:rPr>
              <w:t>, or</w:t>
            </w:r>
            <w:r>
              <w:rPr>
                <w:rFonts w:eastAsia="宋体"/>
                <w:szCs w:val="20"/>
                <w:highlight w:val="cyan"/>
                <w:lang w:eastAsia="en-US"/>
              </w:rPr>
              <w:t xml:space="preserve"> if </w:t>
            </w:r>
            <w:r>
              <w:rPr>
                <w:rFonts w:eastAsia="宋体"/>
                <w:i/>
                <w:szCs w:val="20"/>
                <w:highlight w:val="cyan"/>
                <w:lang w:eastAsia="en-US"/>
              </w:rPr>
              <w:t>srs-PowerControlAdjustmentStates</w:t>
            </w:r>
            <w:r>
              <w:rPr>
                <w:rFonts w:eastAsia="宋体"/>
                <w:szCs w:val="20"/>
                <w:highlight w:val="cyan"/>
                <w:lang w:eastAsia="en-US"/>
              </w:rPr>
              <w:t xml:space="preserve"> indicates separate power control adjustment states between SRS transmissions and PUSCH transmissions, and if </w:t>
            </w:r>
            <w:r>
              <w:rPr>
                <w:rFonts w:eastAsia="宋体"/>
                <w:i/>
                <w:szCs w:val="20"/>
                <w:highlight w:val="cyan"/>
                <w:lang w:eastAsia="en-US"/>
              </w:rPr>
              <w:t>tpc-Accumulation</w:t>
            </w:r>
            <w:r>
              <w:rPr>
                <w:rFonts w:eastAsia="宋体"/>
                <w:szCs w:val="20"/>
                <w:highlight w:val="cyan"/>
                <w:lang w:eastAsia="en-US"/>
              </w:rPr>
              <w:t xml:space="preserve"> is not provided, where </w:t>
            </w:r>
          </w:p>
          <w:p>
            <w:pPr>
              <w:adjustRightInd w:val="0"/>
              <w:spacing w:beforeAutospacing="0" w:after="180" w:afterLines="0"/>
              <w:ind w:left="1135" w:hanging="284"/>
              <w:rPr>
                <w:rFonts w:eastAsia="宋体"/>
                <w:szCs w:val="20"/>
                <w:highlight w:val="cyan"/>
                <w:lang w:eastAsia="en-US"/>
              </w:rPr>
            </w:pPr>
            <w:r>
              <w:rPr>
                <w:rFonts w:eastAsia="宋体"/>
                <w:szCs w:val="20"/>
                <w:highlight w:val="cyan"/>
                <w:lang w:eastAsia="en-US"/>
              </w:rPr>
              <w:t>-</w:t>
            </w:r>
            <w:r>
              <w:rPr>
                <w:rFonts w:eastAsia="宋体"/>
                <w:szCs w:val="20"/>
                <w:highlight w:val="cyan"/>
                <w:lang w:eastAsia="en-US"/>
              </w:rPr>
              <w:tab/>
            </w:r>
            <w:r>
              <w:rPr>
                <w:rFonts w:eastAsia="宋体"/>
                <w:szCs w:val="20"/>
                <w:highlight w:val="cyan"/>
                <w:lang w:eastAsia="en-US"/>
              </w:rPr>
              <w:t xml:space="preserve">The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δ</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r>
                    <m:rPr/>
                    <w:rPr>
                      <w:rFonts w:ascii="Cambria Math" w:hAnsi="Cambria Math" w:eastAsia="宋体"/>
                      <w:szCs w:val="20"/>
                      <w:highlight w:val="cyan"/>
                      <w:lang w:val="en-GB" w:eastAsia="en-US"/>
                    </w:rPr>
                    <m:t>,b,f,c</m:t>
                  </m:r>
                  <m:ctrlPr>
                    <w:rPr>
                      <w:rFonts w:ascii="Cambria Math" w:hAnsi="Cambria Math" w:eastAsia="宋体"/>
                      <w:i/>
                      <w:szCs w:val="20"/>
                      <w:highlight w:val="cyan"/>
                      <w:lang w:val="en-GB" w:eastAsia="en-US"/>
                    </w:rPr>
                  </m:ctrlPr>
                </m:sub>
              </m:sSub>
            </m:oMath>
            <w:r>
              <w:rPr>
                <w:rFonts w:eastAsia="宋体"/>
                <w:szCs w:val="20"/>
                <w:highlight w:val="cyan"/>
                <w:lang w:val="en-GB" w:eastAsia="en-US"/>
              </w:rPr>
              <w:t xml:space="preserve"> values are given in Table 7.1.1-1</w:t>
            </w:r>
          </w:p>
          <w:p>
            <w:pPr>
              <w:adjustRightInd w:val="0"/>
              <w:spacing w:beforeAutospacing="0" w:after="180" w:afterLines="0"/>
              <w:ind w:left="1135" w:hanging="284"/>
              <w:rPr>
                <w:rFonts w:eastAsia="宋体"/>
                <w:szCs w:val="20"/>
                <w:lang w:eastAsia="en-US"/>
              </w:rPr>
            </w:pPr>
            <w:r>
              <w:rPr>
                <w:rFonts w:eastAsia="宋体"/>
                <w:szCs w:val="20"/>
                <w:highlight w:val="cyan"/>
                <w:lang w:eastAsia="en-US"/>
              </w:rPr>
              <w:t>-</w:t>
            </w:r>
            <w:r>
              <w:rPr>
                <w:rFonts w:eastAsia="宋体"/>
                <w:szCs w:val="20"/>
                <w:highlight w:val="cyan"/>
                <w:lang w:eastAsia="en-US"/>
              </w:rPr>
              <w:tab/>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δ</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r>
                    <m:rPr/>
                    <w:rPr>
                      <w:rFonts w:ascii="Cambria Math" w:hAnsi="Cambria Math" w:eastAsia="宋体"/>
                      <w:szCs w:val="20"/>
                      <w:highlight w:val="cyan"/>
                      <w:lang w:val="en-GB" w:eastAsia="en-US"/>
                    </w:rPr>
                    <m:t>,b,f,c</m:t>
                  </m:r>
                  <m:ctrlPr>
                    <w:rPr>
                      <w:rFonts w:ascii="Cambria Math" w:hAnsi="Cambria Math" w:eastAsia="宋体"/>
                      <w:i/>
                      <w:szCs w:val="20"/>
                      <w:highlight w:val="cyan"/>
                      <w:lang w:val="en-GB" w:eastAsia="en-US"/>
                    </w:rPr>
                  </m:ctrlPr>
                </m:sub>
              </m:sSub>
              <m:r>
                <m:rPr/>
                <w:rPr>
                  <w:rFonts w:ascii="Cambria Math" w:hAnsi="Cambria Math" w:eastAsia="宋体"/>
                  <w:szCs w:val="20"/>
                  <w:highlight w:val="cyan"/>
                  <w:lang w:val="en-GB" w:eastAsia="en-US"/>
                </w:rPr>
                <m:t>(m)</m:t>
              </m:r>
            </m:oMath>
            <w:r>
              <w:rPr>
                <w:rFonts w:eastAsia="宋体"/>
                <w:szCs w:val="20"/>
                <w:highlight w:val="cyan"/>
                <w:lang w:val="en-GB" w:eastAsia="en-US"/>
              </w:rPr>
              <w:t xml:space="preserve"> is jointly coded with other TPC commands in a PDCCH with DCI format 2_3</w:t>
            </w:r>
            <w:r>
              <w:rPr>
                <w:rFonts w:eastAsia="宋体"/>
                <w:szCs w:val="20"/>
                <w:highlight w:val="cyan"/>
                <w:lang w:eastAsia="en-US"/>
              </w:rPr>
              <w:t>, as described in clause 11.4</w:t>
            </w:r>
          </w:p>
          <w:p>
            <w:pPr>
              <w:adjustRightInd w:val="0"/>
              <w:spacing w:beforeAutospacing="0" w:after="180" w:afterLines="0"/>
              <w:ind w:left="1135" w:hanging="284"/>
              <w:rPr>
                <w:rFonts w:eastAsia="宋体"/>
                <w:szCs w:val="20"/>
                <w:highlight w:val="cyan"/>
                <w:lang w:val="en-GB" w:eastAsia="en-US"/>
              </w:rPr>
            </w:pPr>
            <w:r>
              <w:rPr>
                <w:rFonts w:eastAsia="宋体"/>
                <w:szCs w:val="20"/>
                <w:highlight w:val="cyan"/>
                <w:lang w:eastAsia="en-US"/>
              </w:rPr>
              <w:t>-</w:t>
            </w:r>
            <w:r>
              <w:rPr>
                <w:rFonts w:eastAsia="宋体"/>
                <w:szCs w:val="20"/>
                <w:highlight w:val="cyan"/>
                <w:lang w:eastAsia="en-US"/>
              </w:rPr>
              <w:tab/>
            </w:r>
            <m:oMath>
              <m:nary>
                <m:naryPr>
                  <m:chr m:val="∑"/>
                  <m:limLoc m:val="undOvr"/>
                  <m:ctrlPr>
                    <w:rPr>
                      <w:rFonts w:ascii="Cambria Math" w:hAnsi="Cambria Math" w:eastAsia="宋体"/>
                      <w:i/>
                      <w:szCs w:val="20"/>
                      <w:highlight w:val="cyan"/>
                      <w:lang w:val="en-GB" w:eastAsia="en-US"/>
                    </w:rPr>
                  </m:ctrlPr>
                </m:naryPr>
                <m:sub>
                  <m:r>
                    <m:rPr/>
                    <w:rPr>
                      <w:rFonts w:ascii="Cambria Math" w:hAnsi="Cambria Math" w:eastAsia="宋体"/>
                      <w:szCs w:val="20"/>
                      <w:highlight w:val="cyan"/>
                      <w:lang w:val="en-GB" w:eastAsia="en-US"/>
                    </w:rPr>
                    <m:t>m=0</m:t>
                  </m:r>
                  <m:ctrlPr>
                    <w:rPr>
                      <w:rFonts w:ascii="Cambria Math" w:hAnsi="Cambria Math" w:eastAsia="宋体"/>
                      <w:i/>
                      <w:szCs w:val="20"/>
                      <w:highlight w:val="cyan"/>
                      <w:lang w:val="en-GB" w:eastAsia="en-US"/>
                    </w:rPr>
                  </m:ctrlPr>
                </m:sub>
                <m:sup>
                  <m:r>
                    <m:rPr>
                      <m:nor/>
                      <m:sty m:val="p"/>
                    </m:rPr>
                    <w:rPr>
                      <w:rFonts w:ascii="Cambria Math" w:hAnsi="Cambria Math" w:eastAsia="宋体"/>
                      <w:szCs w:val="20"/>
                      <w:highlight w:val="cyan"/>
                      <w:lang w:val="en-GB" w:eastAsia="en-US"/>
                    </w:rPr>
                    <m:t>C</m:t>
                  </m:r>
                  <m:d>
                    <m:dPr>
                      <m:ctrlPr>
                        <w:rPr>
                          <w:rFonts w:ascii="Cambria Math" w:hAnsi="Cambria Math" w:eastAsia="宋体"/>
                          <w:i/>
                          <w:szCs w:val="20"/>
                          <w:highlight w:val="cyan"/>
                          <w:lang w:val="en-GB" w:eastAsia="en-US"/>
                        </w:rPr>
                      </m:ctrlPr>
                    </m:dPr>
                    <m:e>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S</m:t>
                          </m:r>
                          <m:ctrlPr>
                            <w:rPr>
                              <w:rFonts w:ascii="Cambria Math" w:hAnsi="Cambria Math" w:eastAsia="宋体"/>
                              <w:i/>
                              <w:szCs w:val="20"/>
                              <w:highlight w:val="cyan"/>
                              <w:lang w:val="en-GB" w:eastAsia="en-US"/>
                            </w:rPr>
                          </m:ctrlPr>
                        </m:e>
                        <m:sub>
                          <m:r>
                            <m:rPr/>
                            <w:rPr>
                              <w:rFonts w:ascii="Cambria Math" w:hAnsi="Cambria Math" w:eastAsia="宋体"/>
                              <w:szCs w:val="20"/>
                              <w:highlight w:val="cyan"/>
                              <w:lang w:val="en-GB" w:eastAsia="en-US"/>
                            </w:rPr>
                            <m:t>i</m:t>
                          </m:r>
                          <m:ctrlPr>
                            <w:rPr>
                              <w:rFonts w:ascii="Cambria Math" w:hAnsi="Cambria Math" w:eastAsia="宋体"/>
                              <w:i/>
                              <w:szCs w:val="20"/>
                              <w:highlight w:val="cyan"/>
                              <w:lang w:val="en-GB" w:eastAsia="en-US"/>
                            </w:rPr>
                          </m:ctrlPr>
                        </m:sub>
                      </m:sSub>
                      <m:ctrlPr>
                        <w:rPr>
                          <w:rFonts w:ascii="Cambria Math" w:hAnsi="Cambria Math" w:eastAsia="宋体"/>
                          <w:i/>
                          <w:szCs w:val="20"/>
                          <w:highlight w:val="cyan"/>
                          <w:lang w:val="en-GB" w:eastAsia="en-US"/>
                        </w:rPr>
                      </m:ctrlPr>
                    </m:e>
                  </m:d>
                  <m:r>
                    <m:rPr/>
                    <w:rPr>
                      <w:rFonts w:ascii="Cambria Math" w:hAnsi="Cambria Math" w:eastAsia="宋体"/>
                      <w:szCs w:val="20"/>
                      <w:highlight w:val="cyan"/>
                      <w:lang w:val="en-GB" w:eastAsia="en-US"/>
                    </w:rPr>
                    <m:t>−1</m:t>
                  </m:r>
                  <m:ctrlPr>
                    <w:rPr>
                      <w:rFonts w:ascii="Cambria Math" w:hAnsi="Cambria Math" w:eastAsia="宋体"/>
                      <w:i/>
                      <w:szCs w:val="20"/>
                      <w:highlight w:val="cyan"/>
                      <w:lang w:val="en-GB" w:eastAsia="en-US"/>
                    </w:rPr>
                  </m:ctrlPr>
                </m:sup>
                <m:e>
                  <m:sSub>
                    <m:sSubPr>
                      <m:ctrlPr>
                        <w:rPr>
                          <w:rFonts w:ascii="Cambria Math" w:hAnsi="Cambria Math" w:eastAsia="宋体"/>
                          <w:iCs/>
                          <w:szCs w:val="20"/>
                          <w:highlight w:val="cyan"/>
                          <w:lang w:val="en-GB" w:eastAsia="en-US"/>
                        </w:rPr>
                      </m:ctrlPr>
                    </m:sSubPr>
                    <m:e>
                      <m:r>
                        <m:rPr/>
                        <w:rPr>
                          <w:rFonts w:ascii="Cambria Math" w:hAnsi="Cambria Math" w:eastAsia="宋体"/>
                          <w:szCs w:val="20"/>
                          <w:highlight w:val="cyan"/>
                          <w:lang w:val="en-GB" w:eastAsia="en-US"/>
                        </w:rPr>
                        <m:t>δ</m:t>
                      </m:r>
                      <m:ctrlPr>
                        <w:rPr>
                          <w:rFonts w:ascii="Cambria Math" w:hAnsi="Cambria Math" w:eastAsia="宋体"/>
                          <w:iCs/>
                          <w:szCs w:val="20"/>
                          <w:highlight w:val="cyan"/>
                          <w:lang w:val="en-GB" w:eastAsia="en-US"/>
                        </w:rPr>
                      </m:ctrlPr>
                    </m:e>
                    <m:sub>
                      <m:r>
                        <m:rPr>
                          <m:sty m:val="p"/>
                        </m:rPr>
                        <w:rPr>
                          <w:rFonts w:ascii="Cambria Math" w:hAnsi="Cambria Math" w:eastAsia="宋体"/>
                          <w:szCs w:val="20"/>
                          <w:highlight w:val="cyan"/>
                          <w:lang w:val="en-GB" w:eastAsia="en-US"/>
                        </w:rPr>
                        <m:t>SRS</m:t>
                      </m:r>
                      <m:r>
                        <m:rPr/>
                        <w:rPr>
                          <w:rFonts w:ascii="Cambria Math" w:hAnsi="Cambria Math" w:eastAsia="宋体"/>
                          <w:szCs w:val="20"/>
                          <w:highlight w:val="cyan"/>
                          <w:lang w:val="en-GB" w:eastAsia="en-US"/>
                        </w:rPr>
                        <m:t>,b</m:t>
                      </m:r>
                      <m:r>
                        <m:rPr>
                          <m:sty m:val="p"/>
                        </m:rPr>
                        <w:rPr>
                          <w:rFonts w:ascii="Cambria Math" w:hAnsi="Cambria Math" w:eastAsia="宋体"/>
                          <w:szCs w:val="20"/>
                          <w:highlight w:val="cyan"/>
                          <w:lang w:val="en-GB" w:eastAsia="en-US"/>
                        </w:rPr>
                        <m:t>,</m:t>
                      </m:r>
                      <m:r>
                        <m:rPr/>
                        <w:rPr>
                          <w:rFonts w:ascii="Cambria Math" w:hAnsi="Cambria Math" w:eastAsia="宋体"/>
                          <w:szCs w:val="20"/>
                          <w:highlight w:val="cyan"/>
                          <w:lang w:val="en-GB" w:eastAsia="en-US"/>
                        </w:rPr>
                        <m:t>f</m:t>
                      </m:r>
                      <m:r>
                        <m:rPr>
                          <m:sty m:val="p"/>
                        </m:rPr>
                        <w:rPr>
                          <w:rFonts w:ascii="Cambria Math" w:hAnsi="Cambria Math" w:eastAsia="宋体"/>
                          <w:szCs w:val="20"/>
                          <w:highlight w:val="cyan"/>
                          <w:lang w:val="en-GB" w:eastAsia="en-US"/>
                        </w:rPr>
                        <m:t>,</m:t>
                      </m:r>
                      <m:r>
                        <m:rPr/>
                        <w:rPr>
                          <w:rFonts w:ascii="Cambria Math" w:hAnsi="Cambria Math" w:eastAsia="宋体"/>
                          <w:szCs w:val="20"/>
                          <w:highlight w:val="cyan"/>
                          <w:lang w:val="en-GB" w:eastAsia="en-US"/>
                        </w:rPr>
                        <m:t>c</m:t>
                      </m:r>
                      <m:ctrlPr>
                        <w:rPr>
                          <w:rFonts w:ascii="Cambria Math" w:hAnsi="Cambria Math" w:eastAsia="宋体"/>
                          <w:iCs/>
                          <w:szCs w:val="20"/>
                          <w:highlight w:val="cyan"/>
                          <w:lang w:val="en-GB" w:eastAsia="en-US"/>
                        </w:rPr>
                      </m:ctrlPr>
                    </m:sub>
                  </m:sSub>
                  <m:r>
                    <m:rPr/>
                    <w:rPr>
                      <w:rFonts w:ascii="Cambria Math" w:hAnsi="Cambria Math" w:eastAsia="宋体"/>
                      <w:szCs w:val="20"/>
                      <w:highlight w:val="cyan"/>
                      <w:lang w:val="en-GB" w:eastAsia="en-US"/>
                    </w:rPr>
                    <m:t>(m)</m:t>
                  </m:r>
                  <m:ctrlPr>
                    <w:rPr>
                      <w:rFonts w:ascii="Cambria Math" w:hAnsi="Cambria Math" w:eastAsia="宋体"/>
                      <w:i/>
                      <w:szCs w:val="20"/>
                      <w:highlight w:val="cyan"/>
                      <w:lang w:val="en-GB" w:eastAsia="en-US"/>
                    </w:rPr>
                  </m:ctrlPr>
                </m:e>
              </m:nary>
            </m:oMath>
            <w:r>
              <w:rPr>
                <w:rFonts w:eastAsia="宋体"/>
                <w:szCs w:val="20"/>
                <w:highlight w:val="cyan"/>
                <w:lang w:val="en-GB" w:eastAsia="en-US"/>
              </w:rPr>
              <w:t xml:space="preserve"> is a sum of TPC command values in a set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S</m:t>
                  </m:r>
                  <m:ctrlPr>
                    <w:rPr>
                      <w:rFonts w:ascii="Cambria Math" w:hAnsi="Cambria Math" w:eastAsia="宋体"/>
                      <w:i/>
                      <w:szCs w:val="20"/>
                      <w:highlight w:val="cyan"/>
                      <w:lang w:val="en-GB" w:eastAsia="en-US"/>
                    </w:rPr>
                  </m:ctrlPr>
                </m:e>
                <m:sub>
                  <m:r>
                    <m:rPr/>
                    <w:rPr>
                      <w:rFonts w:ascii="Cambria Math" w:hAnsi="Cambria Math" w:eastAsia="宋体"/>
                      <w:szCs w:val="20"/>
                      <w:highlight w:val="cyan"/>
                      <w:lang w:val="en-GB" w:eastAsia="en-US"/>
                    </w:rPr>
                    <m:t>i</m:t>
                  </m:r>
                  <m:ctrlPr>
                    <w:rPr>
                      <w:rFonts w:ascii="Cambria Math" w:hAnsi="Cambria Math" w:eastAsia="宋体"/>
                      <w:i/>
                      <w:szCs w:val="20"/>
                      <w:highlight w:val="cyan"/>
                      <w:lang w:val="en-GB" w:eastAsia="en-US"/>
                    </w:rPr>
                  </m:ctrlPr>
                </m:sub>
              </m:sSub>
            </m:oMath>
            <w:r>
              <w:rPr>
                <w:rFonts w:eastAsia="宋体"/>
                <w:szCs w:val="20"/>
                <w:highlight w:val="cyan"/>
                <w:lang w:val="en-GB" w:eastAsia="en-US"/>
              </w:rPr>
              <w:t xml:space="preserve"> of TPC command values with cardinality </w:t>
            </w:r>
            <m:oMath>
              <m:r>
                <m:rPr>
                  <m:nor/>
                  <m:sty m:val="p"/>
                </m:rPr>
                <w:rPr>
                  <w:rFonts w:ascii="Cambria Math" w:hAnsi="Cambria Math" w:eastAsia="宋体"/>
                  <w:szCs w:val="20"/>
                  <w:highlight w:val="cyan"/>
                  <w:lang w:val="en-GB" w:eastAsia="en-US"/>
                </w:rPr>
                <m:t>C</m:t>
              </m:r>
              <m:d>
                <m:dPr>
                  <m:ctrlPr>
                    <w:rPr>
                      <w:rFonts w:ascii="Cambria Math" w:hAnsi="Cambria Math" w:eastAsia="宋体"/>
                      <w:i/>
                      <w:szCs w:val="20"/>
                      <w:highlight w:val="cyan"/>
                      <w:lang w:val="en-GB" w:eastAsia="en-US"/>
                    </w:rPr>
                  </m:ctrlPr>
                </m:dPr>
                <m:e>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S</m:t>
                      </m:r>
                      <m:ctrlPr>
                        <w:rPr>
                          <w:rFonts w:ascii="Cambria Math" w:hAnsi="Cambria Math" w:eastAsia="宋体"/>
                          <w:i/>
                          <w:szCs w:val="20"/>
                          <w:highlight w:val="cyan"/>
                          <w:lang w:val="en-GB" w:eastAsia="en-US"/>
                        </w:rPr>
                      </m:ctrlPr>
                    </m:e>
                    <m:sub>
                      <m:r>
                        <m:rPr/>
                        <w:rPr>
                          <w:rFonts w:ascii="Cambria Math" w:hAnsi="Cambria Math" w:eastAsia="宋体"/>
                          <w:szCs w:val="20"/>
                          <w:highlight w:val="cyan"/>
                          <w:lang w:val="en-GB" w:eastAsia="en-US"/>
                        </w:rPr>
                        <m:t>i</m:t>
                      </m:r>
                      <m:ctrlPr>
                        <w:rPr>
                          <w:rFonts w:ascii="Cambria Math" w:hAnsi="Cambria Math" w:eastAsia="宋体"/>
                          <w:i/>
                          <w:szCs w:val="20"/>
                          <w:highlight w:val="cyan"/>
                          <w:lang w:val="en-GB" w:eastAsia="en-US"/>
                        </w:rPr>
                      </m:ctrlPr>
                    </m:sub>
                  </m:sSub>
                  <m:ctrlPr>
                    <w:rPr>
                      <w:rFonts w:ascii="Cambria Math" w:hAnsi="Cambria Math" w:eastAsia="宋体"/>
                      <w:i/>
                      <w:szCs w:val="20"/>
                      <w:highlight w:val="cyan"/>
                      <w:lang w:val="en-GB" w:eastAsia="en-US"/>
                    </w:rPr>
                  </m:ctrlPr>
                </m:e>
              </m:d>
            </m:oMath>
            <w:r>
              <w:rPr>
                <w:rFonts w:eastAsia="宋体"/>
                <w:szCs w:val="20"/>
                <w:highlight w:val="cyan"/>
                <w:lang w:val="en-GB" w:eastAsia="en-US"/>
              </w:rPr>
              <w:t xml:space="preserve"> that the UE receives between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K</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ctrlPr>
                    <w:rPr>
                      <w:rFonts w:ascii="Cambria Math" w:hAnsi="Cambria Math" w:eastAsia="宋体"/>
                      <w:i/>
                      <w:szCs w:val="20"/>
                      <w:highlight w:val="cyan"/>
                      <w:lang w:val="en-GB" w:eastAsia="en-US"/>
                    </w:rPr>
                  </m:ctrlPr>
                </m:sub>
              </m:sSub>
              <m:d>
                <m:dPr>
                  <m:ctrlPr>
                    <w:rPr>
                      <w:rFonts w:ascii="Cambria Math" w:hAnsi="Cambria Math" w:eastAsia="宋体"/>
                      <w:i/>
                      <w:szCs w:val="20"/>
                      <w:highlight w:val="cyan"/>
                      <w:lang w:val="en-GB" w:eastAsia="en-US"/>
                    </w:rPr>
                  </m:ctrlPr>
                </m:dPr>
                <m:e>
                  <m:r>
                    <m:rPr/>
                    <w:rPr>
                      <w:rFonts w:ascii="Cambria Math" w:hAnsi="Cambria Math" w:eastAsia="宋体"/>
                      <w:szCs w:val="20"/>
                      <w:highlight w:val="cyan"/>
                      <w:lang w:val="en-GB" w:eastAsia="en-US"/>
                    </w:rPr>
                    <m:t>i</m:t>
                  </m:r>
                  <m:r>
                    <m:rPr/>
                    <w:rPr>
                      <w:rFonts w:ascii="Cambria Math" w:hAnsi="Cambria Math" w:eastAsia="宋体"/>
                      <w:szCs w:val="20"/>
                      <w:highlight w:val="cyan"/>
                      <w:lang w:eastAsia="en-US"/>
                    </w:rPr>
                    <m:t>−</m:t>
                  </m:r>
                  <m:sSub>
                    <m:sSubPr>
                      <m:ctrlPr>
                        <w:rPr>
                          <w:rFonts w:ascii="Cambria Math" w:hAnsi="Cambria Math" w:eastAsia="宋体"/>
                          <w:i/>
                          <w:szCs w:val="20"/>
                          <w:highlight w:val="cyan"/>
                          <w:lang w:eastAsia="en-US"/>
                        </w:rPr>
                      </m:ctrlPr>
                    </m:sSubPr>
                    <m:e>
                      <m:r>
                        <m:rPr/>
                        <w:rPr>
                          <w:rFonts w:ascii="Cambria Math" w:hAnsi="Cambria Math" w:eastAsia="宋体"/>
                          <w:szCs w:val="20"/>
                          <w:highlight w:val="cyan"/>
                          <w:lang w:eastAsia="en-US"/>
                        </w:rPr>
                        <m:t>i</m:t>
                      </m:r>
                      <m:ctrlPr>
                        <w:rPr>
                          <w:rFonts w:ascii="Cambria Math" w:hAnsi="Cambria Math" w:eastAsia="宋体"/>
                          <w:i/>
                          <w:szCs w:val="20"/>
                          <w:highlight w:val="cyan"/>
                          <w:lang w:eastAsia="en-US"/>
                        </w:rPr>
                      </m:ctrlPr>
                    </m:e>
                    <m:sub>
                      <m:r>
                        <m:rPr/>
                        <w:rPr>
                          <w:rFonts w:ascii="Cambria Math" w:hAnsi="Cambria Math" w:eastAsia="宋体"/>
                          <w:szCs w:val="20"/>
                          <w:highlight w:val="cyan"/>
                          <w:lang w:eastAsia="en-US"/>
                        </w:rPr>
                        <m:t>0</m:t>
                      </m:r>
                      <m:ctrlPr>
                        <w:rPr>
                          <w:rFonts w:ascii="Cambria Math" w:hAnsi="Cambria Math" w:eastAsia="宋体"/>
                          <w:i/>
                          <w:szCs w:val="20"/>
                          <w:highlight w:val="cyan"/>
                          <w:lang w:eastAsia="en-US"/>
                        </w:rPr>
                      </m:ctrlPr>
                    </m:sub>
                  </m:sSub>
                  <m:ctrlPr>
                    <w:rPr>
                      <w:rFonts w:ascii="Cambria Math" w:hAnsi="Cambria Math" w:eastAsia="宋体"/>
                      <w:i/>
                      <w:szCs w:val="20"/>
                      <w:highlight w:val="cyan"/>
                      <w:lang w:val="en-GB" w:eastAsia="en-US"/>
                    </w:rPr>
                  </m:ctrlPr>
                </m:e>
              </m:d>
              <m:r>
                <m:rPr/>
                <w:rPr>
                  <w:rFonts w:ascii="Cambria Math" w:hAnsi="Cambria Math" w:eastAsia="宋体"/>
                  <w:szCs w:val="20"/>
                  <w:highlight w:val="cyan"/>
                  <w:lang w:val="en-GB" w:eastAsia="en-US"/>
                </w:rPr>
                <m:t>−1</m:t>
              </m:r>
            </m:oMath>
            <w:r>
              <w:rPr>
                <w:rFonts w:eastAsia="宋体"/>
                <w:szCs w:val="20"/>
                <w:highlight w:val="cyan"/>
                <w:lang w:val="en-GB" w:eastAsia="en-US"/>
              </w:rPr>
              <w:t xml:space="preserve"> symbols before SRS transmission occasion </w:t>
            </w:r>
            <m:oMath>
              <m:r>
                <m:rPr/>
                <w:rPr>
                  <w:rFonts w:ascii="Cambria Math" w:hAnsi="Cambria Math" w:eastAsia="宋体"/>
                  <w:szCs w:val="20"/>
                  <w:highlight w:val="cyan"/>
                  <w:lang w:eastAsia="en-US"/>
                </w:rPr>
                <m:t>i−</m:t>
              </m:r>
              <m:sSub>
                <m:sSubPr>
                  <m:ctrlPr>
                    <w:rPr>
                      <w:rFonts w:ascii="Cambria Math" w:hAnsi="Cambria Math" w:eastAsia="宋体"/>
                      <w:i/>
                      <w:szCs w:val="20"/>
                      <w:highlight w:val="cyan"/>
                      <w:lang w:eastAsia="en-US"/>
                    </w:rPr>
                  </m:ctrlPr>
                </m:sSubPr>
                <m:e>
                  <m:r>
                    <m:rPr/>
                    <w:rPr>
                      <w:rFonts w:ascii="Cambria Math" w:hAnsi="Cambria Math" w:eastAsia="宋体"/>
                      <w:szCs w:val="20"/>
                      <w:highlight w:val="cyan"/>
                      <w:lang w:eastAsia="en-US"/>
                    </w:rPr>
                    <m:t>i</m:t>
                  </m:r>
                  <m:ctrlPr>
                    <w:rPr>
                      <w:rFonts w:ascii="Cambria Math" w:hAnsi="Cambria Math" w:eastAsia="宋体"/>
                      <w:i/>
                      <w:szCs w:val="20"/>
                      <w:highlight w:val="cyan"/>
                      <w:lang w:eastAsia="en-US"/>
                    </w:rPr>
                  </m:ctrlPr>
                </m:e>
                <m:sub>
                  <m:r>
                    <m:rPr/>
                    <w:rPr>
                      <w:rFonts w:ascii="Cambria Math" w:hAnsi="Cambria Math" w:eastAsia="宋体"/>
                      <w:szCs w:val="20"/>
                      <w:highlight w:val="cyan"/>
                      <w:lang w:eastAsia="en-US"/>
                    </w:rPr>
                    <m:t>0</m:t>
                  </m:r>
                  <m:ctrlPr>
                    <w:rPr>
                      <w:rFonts w:ascii="Cambria Math" w:hAnsi="Cambria Math" w:eastAsia="宋体"/>
                      <w:i/>
                      <w:szCs w:val="20"/>
                      <w:highlight w:val="cyan"/>
                      <w:lang w:eastAsia="en-US"/>
                    </w:rPr>
                  </m:ctrlPr>
                </m:sub>
              </m:sSub>
            </m:oMath>
            <w:r>
              <w:rPr>
                <w:rFonts w:eastAsia="宋体"/>
                <w:szCs w:val="20"/>
                <w:highlight w:val="cyan"/>
                <w:lang w:val="en-GB" w:eastAsia="en-US"/>
              </w:rPr>
              <w:t xml:space="preserve"> and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K</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ctrlPr>
                    <w:rPr>
                      <w:rFonts w:ascii="Cambria Math" w:hAnsi="Cambria Math" w:eastAsia="宋体"/>
                      <w:i/>
                      <w:szCs w:val="20"/>
                      <w:highlight w:val="cyan"/>
                      <w:lang w:val="en-GB" w:eastAsia="en-US"/>
                    </w:rPr>
                  </m:ctrlPr>
                </m:sub>
              </m:sSub>
              <m:r>
                <m:rPr/>
                <w:rPr>
                  <w:rFonts w:ascii="Cambria Math" w:hAnsi="Cambria Math" w:eastAsia="宋体"/>
                  <w:szCs w:val="20"/>
                  <w:highlight w:val="cyan"/>
                  <w:lang w:val="en-GB" w:eastAsia="en-US"/>
                </w:rPr>
                <m:t>(i)</m:t>
              </m:r>
            </m:oMath>
            <w:r>
              <w:rPr>
                <w:rFonts w:eastAsia="宋体"/>
                <w:szCs w:val="20"/>
                <w:highlight w:val="cyan"/>
                <w:lang w:val="en-GB" w:eastAsia="en-US"/>
              </w:rPr>
              <w:t xml:space="preserve"> symbols before SRS transmission occasion </w:t>
            </w:r>
            <m:oMath>
              <m:r>
                <m:rPr/>
                <w:rPr>
                  <w:rFonts w:ascii="Cambria Math" w:hAnsi="Cambria Math" w:eastAsia="宋体"/>
                  <w:szCs w:val="20"/>
                  <w:highlight w:val="cyan"/>
                  <w:lang w:val="en-GB" w:eastAsia="en-US"/>
                </w:rPr>
                <m:t>i</m:t>
              </m:r>
            </m:oMath>
            <w:r>
              <w:rPr>
                <w:rFonts w:eastAsia="宋体"/>
                <w:szCs w:val="20"/>
                <w:highlight w:val="cyan"/>
                <w:lang w:val="en-GB" w:eastAsia="en-US"/>
              </w:rPr>
              <w:t xml:space="preserve"> on active </w:t>
            </w:r>
            <w:r>
              <w:rPr>
                <w:rFonts w:eastAsia="宋体"/>
                <w:szCs w:val="20"/>
                <w:highlight w:val="cyan"/>
                <w:lang w:eastAsia="en-US"/>
              </w:rPr>
              <w:t xml:space="preserve">UL BWP </w:t>
            </w:r>
            <m:oMath>
              <m:r>
                <m:rPr/>
                <w:rPr>
                  <w:rFonts w:ascii="Cambria Math" w:hAnsi="Cambria Math" w:eastAsia="宋体"/>
                  <w:szCs w:val="20"/>
                  <w:highlight w:val="cyan"/>
                  <w:lang w:val="en-GB" w:eastAsia="en-US"/>
                </w:rPr>
                <m:t>b</m:t>
              </m:r>
            </m:oMath>
            <w:r>
              <w:rPr>
                <w:rFonts w:eastAsia="宋体"/>
                <w:iCs/>
                <w:szCs w:val="20"/>
                <w:highlight w:val="cyan"/>
                <w:lang w:eastAsia="en-US"/>
              </w:rPr>
              <w:t xml:space="preserve"> </w:t>
            </w:r>
            <w:r>
              <w:rPr>
                <w:rFonts w:eastAsia="宋体"/>
                <w:szCs w:val="20"/>
                <w:highlight w:val="cyan"/>
                <w:lang w:eastAsia="en-US"/>
              </w:rPr>
              <w:t xml:space="preserve">of carrier </w:t>
            </w:r>
            <m:oMath>
              <m:r>
                <m:rPr/>
                <w:rPr>
                  <w:rFonts w:ascii="Cambria Math" w:hAnsi="Cambria Math" w:eastAsia="宋体"/>
                  <w:szCs w:val="20"/>
                  <w:highlight w:val="cyan"/>
                  <w:lang w:val="en-GB" w:eastAsia="en-US"/>
                </w:rPr>
                <m:t>f</m:t>
              </m:r>
            </m:oMath>
            <w:r>
              <w:rPr>
                <w:rFonts w:eastAsia="宋体"/>
                <w:iCs/>
                <w:szCs w:val="20"/>
                <w:highlight w:val="cyan"/>
                <w:lang w:eastAsia="en-US"/>
              </w:rPr>
              <w:t xml:space="preserve"> of</w:t>
            </w:r>
            <w:r>
              <w:rPr>
                <w:rFonts w:eastAsia="宋体"/>
                <w:szCs w:val="20"/>
                <w:highlight w:val="cyan"/>
                <w:lang w:val="en-GB" w:eastAsia="en-US"/>
              </w:rPr>
              <w:t xml:space="preserve"> serving cell </w:t>
            </w:r>
            <m:oMath>
              <m:r>
                <m:rPr/>
                <w:rPr>
                  <w:rFonts w:ascii="Cambria Math" w:hAnsi="Cambria Math" w:eastAsia="宋体"/>
                  <w:szCs w:val="20"/>
                  <w:highlight w:val="cyan"/>
                  <w:lang w:val="en-GB" w:eastAsia="en-US"/>
                </w:rPr>
                <m:t>c</m:t>
              </m:r>
            </m:oMath>
            <w:r>
              <w:rPr>
                <w:rFonts w:eastAsia="宋体"/>
                <w:szCs w:val="20"/>
                <w:highlight w:val="cyan"/>
                <w:lang w:val="en-GB" w:eastAsia="en-US"/>
              </w:rPr>
              <w:t xml:space="preserve"> for SRS power control adjustment state, where </w:t>
            </w:r>
            <m:oMath>
              <m:sSub>
                <m:sSubPr>
                  <m:ctrlPr>
                    <w:rPr>
                      <w:rFonts w:ascii="Cambria Math" w:hAnsi="Cambria Math" w:eastAsia="宋体"/>
                      <w:i/>
                      <w:szCs w:val="20"/>
                      <w:highlight w:val="cyan"/>
                      <w:lang w:eastAsia="en-US"/>
                    </w:rPr>
                  </m:ctrlPr>
                </m:sSubPr>
                <m:e>
                  <m:r>
                    <m:rPr/>
                    <w:rPr>
                      <w:rFonts w:ascii="Cambria Math" w:hAnsi="Cambria Math" w:eastAsia="宋体"/>
                      <w:szCs w:val="20"/>
                      <w:highlight w:val="cyan"/>
                      <w:lang w:eastAsia="en-US"/>
                    </w:rPr>
                    <m:t>i</m:t>
                  </m:r>
                  <m:ctrlPr>
                    <w:rPr>
                      <w:rFonts w:ascii="Cambria Math" w:hAnsi="Cambria Math" w:eastAsia="宋体"/>
                      <w:i/>
                      <w:szCs w:val="20"/>
                      <w:highlight w:val="cyan"/>
                      <w:lang w:eastAsia="en-US"/>
                    </w:rPr>
                  </m:ctrlPr>
                </m:e>
                <m:sub>
                  <m:r>
                    <m:rPr/>
                    <w:rPr>
                      <w:rFonts w:ascii="Cambria Math" w:hAnsi="Cambria Math" w:eastAsia="宋体"/>
                      <w:szCs w:val="20"/>
                      <w:highlight w:val="cyan"/>
                      <w:lang w:eastAsia="en-US"/>
                    </w:rPr>
                    <m:t>0</m:t>
                  </m:r>
                  <m:ctrlPr>
                    <w:rPr>
                      <w:rFonts w:ascii="Cambria Math" w:hAnsi="Cambria Math" w:eastAsia="宋体"/>
                      <w:i/>
                      <w:szCs w:val="20"/>
                      <w:highlight w:val="cyan"/>
                      <w:lang w:eastAsia="en-US"/>
                    </w:rPr>
                  </m:ctrlPr>
                </m:sub>
              </m:sSub>
              <m:r>
                <m:rPr/>
                <w:rPr>
                  <w:rFonts w:ascii="Cambria Math" w:hAnsi="Cambria Math" w:eastAsia="宋体"/>
                  <w:szCs w:val="20"/>
                  <w:highlight w:val="cyan"/>
                  <w:lang w:eastAsia="en-US"/>
                </w:rPr>
                <m:t>&gt;0</m:t>
              </m:r>
            </m:oMath>
            <w:r>
              <w:rPr>
                <w:rFonts w:eastAsia="宋体"/>
                <w:szCs w:val="20"/>
                <w:highlight w:val="cyan"/>
                <w:lang w:val="en-GB" w:eastAsia="en-US"/>
              </w:rPr>
              <w:t xml:space="preserve"> is the smallest integer for which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K</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ctrlPr>
                    <w:rPr>
                      <w:rFonts w:ascii="Cambria Math" w:hAnsi="Cambria Math" w:eastAsia="宋体"/>
                      <w:i/>
                      <w:szCs w:val="20"/>
                      <w:highlight w:val="cyan"/>
                      <w:lang w:val="en-GB" w:eastAsia="en-US"/>
                    </w:rPr>
                  </m:ctrlPr>
                </m:sub>
              </m:sSub>
              <m:r>
                <m:rPr/>
                <w:rPr>
                  <w:rFonts w:ascii="Cambria Math" w:hAnsi="Cambria Math" w:eastAsia="宋体"/>
                  <w:szCs w:val="20"/>
                  <w:highlight w:val="cyan"/>
                  <w:lang w:val="en-GB" w:eastAsia="en-US"/>
                </w:rPr>
                <m:t>(i</m:t>
              </m:r>
              <m:r>
                <m:rPr/>
                <w:rPr>
                  <w:rFonts w:ascii="Cambria Math" w:hAnsi="Cambria Math" w:eastAsia="宋体"/>
                  <w:szCs w:val="20"/>
                  <w:highlight w:val="cyan"/>
                  <w:lang w:eastAsia="en-US"/>
                </w:rPr>
                <m:t>−</m:t>
              </m:r>
              <m:sSub>
                <m:sSubPr>
                  <m:ctrlPr>
                    <w:rPr>
                      <w:rFonts w:ascii="Cambria Math" w:hAnsi="Cambria Math" w:eastAsia="宋体"/>
                      <w:i/>
                      <w:szCs w:val="20"/>
                      <w:highlight w:val="cyan"/>
                      <w:lang w:eastAsia="en-US"/>
                    </w:rPr>
                  </m:ctrlPr>
                </m:sSubPr>
                <m:e>
                  <m:r>
                    <m:rPr/>
                    <w:rPr>
                      <w:rFonts w:ascii="Cambria Math" w:hAnsi="Cambria Math" w:eastAsia="宋体"/>
                      <w:szCs w:val="20"/>
                      <w:highlight w:val="cyan"/>
                      <w:lang w:eastAsia="en-US"/>
                    </w:rPr>
                    <m:t>i</m:t>
                  </m:r>
                  <m:ctrlPr>
                    <w:rPr>
                      <w:rFonts w:ascii="Cambria Math" w:hAnsi="Cambria Math" w:eastAsia="宋体"/>
                      <w:i/>
                      <w:szCs w:val="20"/>
                      <w:highlight w:val="cyan"/>
                      <w:lang w:eastAsia="en-US"/>
                    </w:rPr>
                  </m:ctrlPr>
                </m:e>
                <m:sub>
                  <m:r>
                    <m:rPr/>
                    <w:rPr>
                      <w:rFonts w:ascii="Cambria Math" w:hAnsi="Cambria Math" w:eastAsia="宋体"/>
                      <w:szCs w:val="20"/>
                      <w:highlight w:val="cyan"/>
                      <w:lang w:eastAsia="en-US"/>
                    </w:rPr>
                    <m:t>0</m:t>
                  </m:r>
                  <m:ctrlPr>
                    <w:rPr>
                      <w:rFonts w:ascii="Cambria Math" w:hAnsi="Cambria Math" w:eastAsia="宋体"/>
                      <w:i/>
                      <w:szCs w:val="20"/>
                      <w:highlight w:val="cyan"/>
                      <w:lang w:eastAsia="en-US"/>
                    </w:rPr>
                  </m:ctrlPr>
                </m:sub>
              </m:sSub>
              <m:r>
                <m:rPr/>
                <w:rPr>
                  <w:rFonts w:ascii="Cambria Math" w:hAnsi="Cambria Math" w:eastAsia="宋体"/>
                  <w:szCs w:val="20"/>
                  <w:highlight w:val="cyan"/>
                  <w:lang w:val="en-GB" w:eastAsia="en-US"/>
                </w:rPr>
                <m:t>)</m:t>
              </m:r>
            </m:oMath>
            <w:r>
              <w:rPr>
                <w:rFonts w:eastAsia="宋体"/>
                <w:szCs w:val="20"/>
                <w:highlight w:val="cyan"/>
                <w:lang w:val="en-GB" w:eastAsia="en-US"/>
              </w:rPr>
              <w:t xml:space="preserve"> symbols before SRS transmission occasion </w:t>
            </w:r>
            <m:oMath>
              <m:r>
                <m:rPr/>
                <w:rPr>
                  <w:rFonts w:ascii="Cambria Math" w:hAnsi="Cambria Math" w:eastAsia="宋体"/>
                  <w:szCs w:val="20"/>
                  <w:highlight w:val="cyan"/>
                  <w:lang w:eastAsia="en-US"/>
                </w:rPr>
                <m:t>i−</m:t>
              </m:r>
              <m:sSub>
                <m:sSubPr>
                  <m:ctrlPr>
                    <w:rPr>
                      <w:rFonts w:ascii="Cambria Math" w:hAnsi="Cambria Math" w:eastAsia="宋体"/>
                      <w:i/>
                      <w:szCs w:val="20"/>
                      <w:highlight w:val="cyan"/>
                      <w:lang w:eastAsia="en-US"/>
                    </w:rPr>
                  </m:ctrlPr>
                </m:sSubPr>
                <m:e>
                  <m:r>
                    <m:rPr/>
                    <w:rPr>
                      <w:rFonts w:ascii="Cambria Math" w:hAnsi="Cambria Math" w:eastAsia="宋体"/>
                      <w:szCs w:val="20"/>
                      <w:highlight w:val="cyan"/>
                      <w:lang w:eastAsia="en-US"/>
                    </w:rPr>
                    <m:t>i</m:t>
                  </m:r>
                  <m:ctrlPr>
                    <w:rPr>
                      <w:rFonts w:ascii="Cambria Math" w:hAnsi="Cambria Math" w:eastAsia="宋体"/>
                      <w:i/>
                      <w:szCs w:val="20"/>
                      <w:highlight w:val="cyan"/>
                      <w:lang w:eastAsia="en-US"/>
                    </w:rPr>
                  </m:ctrlPr>
                </m:e>
                <m:sub>
                  <m:r>
                    <m:rPr/>
                    <w:rPr>
                      <w:rFonts w:ascii="Cambria Math" w:hAnsi="Cambria Math" w:eastAsia="宋体"/>
                      <w:szCs w:val="20"/>
                      <w:highlight w:val="cyan"/>
                      <w:lang w:eastAsia="en-US"/>
                    </w:rPr>
                    <m:t>0</m:t>
                  </m:r>
                  <m:ctrlPr>
                    <w:rPr>
                      <w:rFonts w:ascii="Cambria Math" w:hAnsi="Cambria Math" w:eastAsia="宋体"/>
                      <w:i/>
                      <w:szCs w:val="20"/>
                      <w:highlight w:val="cyan"/>
                      <w:lang w:eastAsia="en-US"/>
                    </w:rPr>
                  </m:ctrlPr>
                </m:sub>
              </m:sSub>
            </m:oMath>
            <w:r>
              <w:rPr>
                <w:rFonts w:eastAsia="宋体"/>
                <w:szCs w:val="20"/>
                <w:highlight w:val="cyan"/>
                <w:lang w:val="en-GB" w:eastAsia="en-US"/>
              </w:rPr>
              <w:t xml:space="preserve"> is earlier than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K</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ctrlPr>
                    <w:rPr>
                      <w:rFonts w:ascii="Cambria Math" w:hAnsi="Cambria Math" w:eastAsia="宋体"/>
                      <w:i/>
                      <w:szCs w:val="20"/>
                      <w:highlight w:val="cyan"/>
                      <w:lang w:val="en-GB" w:eastAsia="en-US"/>
                    </w:rPr>
                  </m:ctrlPr>
                </m:sub>
              </m:sSub>
              <m:r>
                <m:rPr/>
                <w:rPr>
                  <w:rFonts w:ascii="Cambria Math" w:hAnsi="Cambria Math" w:eastAsia="宋体"/>
                  <w:szCs w:val="20"/>
                  <w:highlight w:val="cyan"/>
                  <w:lang w:val="en-GB" w:eastAsia="en-US"/>
                </w:rPr>
                <m:t>(i)</m:t>
              </m:r>
            </m:oMath>
            <w:r>
              <w:rPr>
                <w:rFonts w:eastAsia="宋体"/>
                <w:szCs w:val="20"/>
                <w:highlight w:val="cyan"/>
                <w:lang w:val="en-GB" w:eastAsia="en-US"/>
              </w:rPr>
              <w:t xml:space="preserve"> symbols before SRS transmission occasion </w:t>
            </w:r>
            <m:oMath>
              <m:r>
                <m:rPr/>
                <w:rPr>
                  <w:rFonts w:ascii="Cambria Math" w:hAnsi="Cambria Math" w:eastAsia="宋体"/>
                  <w:szCs w:val="20"/>
                  <w:highlight w:val="cyan"/>
                  <w:lang w:val="en-GB" w:eastAsia="en-US"/>
                </w:rPr>
                <m:t>i</m:t>
              </m:r>
            </m:oMath>
          </w:p>
          <w:p>
            <w:pPr>
              <w:adjustRightInd w:val="0"/>
              <w:spacing w:beforeAutospacing="0" w:after="180" w:afterLines="0"/>
              <w:ind w:left="1135" w:hanging="284"/>
              <w:rPr>
                <w:rFonts w:eastAsia="宋体"/>
                <w:szCs w:val="20"/>
                <w:highlight w:val="cyan"/>
                <w:lang w:eastAsia="en-US"/>
              </w:rPr>
            </w:pPr>
            <w:r>
              <w:rPr>
                <w:rFonts w:eastAsia="宋体"/>
                <w:szCs w:val="20"/>
                <w:highlight w:val="cyan"/>
                <w:lang w:val="en-GB" w:eastAsia="en-US"/>
              </w:rPr>
              <w:t>-</w:t>
            </w:r>
            <w:r>
              <w:rPr>
                <w:rFonts w:eastAsia="宋体"/>
                <w:szCs w:val="20"/>
                <w:highlight w:val="cyan"/>
                <w:lang w:val="en-GB" w:eastAsia="en-US"/>
              </w:rPr>
              <w:tab/>
            </w:r>
            <w:r>
              <w:rPr>
                <w:rFonts w:eastAsia="宋体"/>
                <w:szCs w:val="20"/>
                <w:highlight w:val="cyan"/>
                <w:lang w:val="en-GB" w:eastAsia="en-US"/>
              </w:rPr>
              <w:t xml:space="preserve">if the SRS transmission is aperiodic,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K</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ctrlPr>
                    <w:rPr>
                      <w:rFonts w:ascii="Cambria Math" w:hAnsi="Cambria Math" w:eastAsia="宋体"/>
                      <w:i/>
                      <w:szCs w:val="20"/>
                      <w:highlight w:val="cyan"/>
                      <w:lang w:val="en-GB" w:eastAsia="en-US"/>
                    </w:rPr>
                  </m:ctrlPr>
                </m:sub>
              </m:sSub>
              <m:r>
                <m:rPr/>
                <w:rPr>
                  <w:rFonts w:ascii="Cambria Math" w:hAnsi="Cambria Math" w:eastAsia="宋体"/>
                  <w:szCs w:val="20"/>
                  <w:highlight w:val="cyan"/>
                  <w:lang w:val="en-GB" w:eastAsia="en-US"/>
                </w:rPr>
                <m:t>(i)</m:t>
              </m:r>
            </m:oMath>
            <w:r>
              <w:rPr>
                <w:rFonts w:eastAsia="宋体"/>
                <w:szCs w:val="20"/>
                <w:highlight w:val="cyan"/>
                <w:lang w:val="en-GB" w:eastAsia="en-US"/>
              </w:rPr>
              <w:t xml:space="preserve"> is a number of symbols for active </w:t>
            </w:r>
            <w:r>
              <w:rPr>
                <w:rFonts w:eastAsia="宋体"/>
                <w:szCs w:val="20"/>
                <w:highlight w:val="cyan"/>
                <w:lang w:eastAsia="en-US"/>
              </w:rPr>
              <w:t xml:space="preserve">UL BWP </w:t>
            </w:r>
            <m:oMath>
              <m:r>
                <m:rPr/>
                <w:rPr>
                  <w:rFonts w:ascii="Cambria Math" w:hAnsi="Cambria Math" w:eastAsia="宋体"/>
                  <w:szCs w:val="20"/>
                  <w:highlight w:val="cyan"/>
                  <w:lang w:val="en-GB" w:eastAsia="en-US"/>
                </w:rPr>
                <m:t>b</m:t>
              </m:r>
            </m:oMath>
            <w:r>
              <w:rPr>
                <w:rFonts w:eastAsia="宋体"/>
                <w:iCs/>
                <w:szCs w:val="20"/>
                <w:highlight w:val="cyan"/>
                <w:lang w:eastAsia="en-US"/>
              </w:rPr>
              <w:t xml:space="preserve"> </w:t>
            </w:r>
            <w:r>
              <w:rPr>
                <w:rFonts w:eastAsia="宋体"/>
                <w:szCs w:val="20"/>
                <w:highlight w:val="cyan"/>
                <w:lang w:eastAsia="en-US"/>
              </w:rPr>
              <w:t xml:space="preserve">of carrier </w:t>
            </w:r>
            <m:oMath>
              <m:r>
                <m:rPr/>
                <w:rPr>
                  <w:rFonts w:ascii="Cambria Math" w:hAnsi="Cambria Math" w:eastAsia="宋体"/>
                  <w:szCs w:val="20"/>
                  <w:highlight w:val="cyan"/>
                  <w:lang w:val="en-GB" w:eastAsia="en-US"/>
                </w:rPr>
                <m:t>f</m:t>
              </m:r>
            </m:oMath>
            <w:r>
              <w:rPr>
                <w:rFonts w:eastAsia="宋体"/>
                <w:iCs/>
                <w:szCs w:val="20"/>
                <w:highlight w:val="cyan"/>
                <w:lang w:eastAsia="en-US"/>
              </w:rPr>
              <w:t xml:space="preserve"> of</w:t>
            </w:r>
            <w:r>
              <w:rPr>
                <w:rFonts w:eastAsia="宋体"/>
                <w:szCs w:val="20"/>
                <w:highlight w:val="cyan"/>
                <w:lang w:val="en-GB" w:eastAsia="en-US"/>
              </w:rPr>
              <w:t xml:space="preserve"> serving cell </w:t>
            </w:r>
            <m:oMath>
              <m:r>
                <m:rPr/>
                <w:rPr>
                  <w:rFonts w:ascii="Cambria Math" w:hAnsi="Cambria Math" w:eastAsia="宋体"/>
                  <w:szCs w:val="20"/>
                  <w:highlight w:val="cyan"/>
                  <w:lang w:val="en-GB" w:eastAsia="en-US"/>
                </w:rPr>
                <m:t>c</m:t>
              </m:r>
            </m:oMath>
            <w:r>
              <w:rPr>
                <w:rFonts w:eastAsia="宋体"/>
                <w:szCs w:val="20"/>
                <w:highlight w:val="cyan"/>
                <w:lang w:val="en-GB" w:eastAsia="en-US"/>
              </w:rPr>
              <w:t xml:space="preserve"> after a last symbol of a corresponding PDCCH </w:t>
            </w:r>
            <w:r>
              <w:rPr>
                <w:rFonts w:eastAsia="等线"/>
                <w:szCs w:val="20"/>
                <w:highlight w:val="cyan"/>
                <w:lang w:val="en-GB"/>
              </w:rPr>
              <w:t>triggering the SRS transmission</w:t>
            </w:r>
            <w:r>
              <w:rPr>
                <w:rFonts w:eastAsia="等线"/>
                <w:szCs w:val="20"/>
                <w:highlight w:val="cyan"/>
                <w:lang w:val="en-GB" w:eastAsia="en-US"/>
              </w:rPr>
              <w:t xml:space="preserve"> </w:t>
            </w:r>
            <w:r>
              <w:rPr>
                <w:rFonts w:eastAsia="宋体"/>
                <w:szCs w:val="20"/>
                <w:highlight w:val="cyan"/>
                <w:lang w:val="en-GB" w:eastAsia="en-US"/>
              </w:rPr>
              <w:t xml:space="preserve">and before a first symbol of the SRS transmission </w:t>
            </w:r>
          </w:p>
          <w:p>
            <w:pPr>
              <w:adjustRightInd w:val="0"/>
              <w:spacing w:beforeAutospacing="0" w:after="180" w:afterLines="0"/>
              <w:ind w:left="1135" w:hanging="284"/>
              <w:rPr>
                <w:szCs w:val="20"/>
                <w:lang w:val="en-GB" w:eastAsia="en-US"/>
              </w:rPr>
            </w:pPr>
            <w:r>
              <w:rPr>
                <w:rFonts w:eastAsia="宋体"/>
                <w:szCs w:val="20"/>
                <w:highlight w:val="cyan"/>
                <w:lang w:val="en-GB" w:eastAsia="en-US"/>
              </w:rPr>
              <w:t>-</w:t>
            </w:r>
            <w:r>
              <w:rPr>
                <w:rFonts w:eastAsia="宋体"/>
                <w:szCs w:val="20"/>
                <w:highlight w:val="cyan"/>
                <w:lang w:val="en-GB" w:eastAsia="en-US"/>
              </w:rPr>
              <w:tab/>
            </w:r>
            <w:r>
              <w:rPr>
                <w:rFonts w:eastAsia="宋体"/>
                <w:szCs w:val="20"/>
                <w:highlight w:val="cyan"/>
                <w:lang w:val="en-GB" w:eastAsia="en-US"/>
              </w:rPr>
              <w:t xml:space="preserve">if the SRS transmission is semi-persistent or periodic,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K</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ctrlPr>
                    <w:rPr>
                      <w:rFonts w:ascii="Cambria Math" w:hAnsi="Cambria Math" w:eastAsia="宋体"/>
                      <w:i/>
                      <w:szCs w:val="20"/>
                      <w:highlight w:val="cyan"/>
                      <w:lang w:val="en-GB" w:eastAsia="en-US"/>
                    </w:rPr>
                  </m:ctrlPr>
                </m:sub>
              </m:sSub>
              <m:r>
                <m:rPr/>
                <w:rPr>
                  <w:rFonts w:ascii="Cambria Math" w:hAnsi="Cambria Math" w:eastAsia="宋体"/>
                  <w:szCs w:val="20"/>
                  <w:highlight w:val="cyan"/>
                  <w:lang w:val="en-GB" w:eastAsia="en-US"/>
                </w:rPr>
                <m:t>(i)</m:t>
              </m:r>
            </m:oMath>
            <w:r>
              <w:rPr>
                <w:rFonts w:eastAsia="宋体"/>
                <w:szCs w:val="20"/>
                <w:highlight w:val="cyan"/>
                <w:lang w:val="en-GB" w:eastAsia="en-US"/>
              </w:rPr>
              <w:t xml:space="preserve"> is a number of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K</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SRS,min</m:t>
                  </m:r>
                  <m:ctrlPr>
                    <w:rPr>
                      <w:rFonts w:ascii="Cambria Math" w:hAnsi="Cambria Math" w:eastAsia="宋体"/>
                      <w:i/>
                      <w:szCs w:val="20"/>
                      <w:highlight w:val="cyan"/>
                      <w:lang w:val="en-GB" w:eastAsia="en-US"/>
                    </w:rPr>
                  </m:ctrlPr>
                </m:sub>
              </m:sSub>
            </m:oMath>
            <w:r>
              <w:rPr>
                <w:rFonts w:eastAsia="宋体"/>
                <w:szCs w:val="20"/>
                <w:highlight w:val="cyan"/>
                <w:lang w:val="en-GB" w:eastAsia="en-US"/>
              </w:rPr>
              <w:t xml:space="preserve"> symbols equal to the product of a number of symbols per slot, </w:t>
            </w:r>
            <m:oMath>
              <m:sSubSup>
                <m:sSubSupPr>
                  <m:ctrlPr>
                    <w:rPr>
                      <w:rFonts w:ascii="Cambria Math" w:hAnsi="Cambria Math" w:eastAsia="宋体"/>
                      <w:i/>
                      <w:szCs w:val="20"/>
                      <w:highlight w:val="cyan"/>
                      <w:lang w:val="en-GB" w:eastAsia="en-US"/>
                    </w:rPr>
                  </m:ctrlPr>
                </m:sSubSupPr>
                <m:e>
                  <m:r>
                    <m:rPr/>
                    <w:rPr>
                      <w:rFonts w:ascii="Cambria Math" w:hAnsi="Cambria Math" w:eastAsia="宋体"/>
                      <w:szCs w:val="20"/>
                      <w:highlight w:val="cyan"/>
                      <w:lang w:val="en-GB" w:eastAsia="en-US"/>
                    </w:rPr>
                    <m:t>N</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symb</m:t>
                  </m:r>
                  <m:ctrlPr>
                    <w:rPr>
                      <w:rFonts w:ascii="Cambria Math" w:hAnsi="Cambria Math" w:eastAsia="宋体"/>
                      <w:i/>
                      <w:szCs w:val="20"/>
                      <w:highlight w:val="cyan"/>
                      <w:lang w:val="en-GB" w:eastAsia="en-US"/>
                    </w:rPr>
                  </m:ctrlPr>
                </m:sub>
                <m:sup>
                  <m:r>
                    <m:rPr>
                      <m:sty m:val="p"/>
                    </m:rPr>
                    <w:rPr>
                      <w:rFonts w:ascii="Cambria Math" w:hAnsi="Cambria Math" w:eastAsia="宋体"/>
                      <w:szCs w:val="20"/>
                      <w:highlight w:val="cyan"/>
                      <w:lang w:val="en-GB" w:eastAsia="en-US"/>
                    </w:rPr>
                    <m:t>slot</m:t>
                  </m:r>
                  <m:ctrlPr>
                    <w:rPr>
                      <w:rFonts w:ascii="Cambria Math" w:hAnsi="Cambria Math" w:eastAsia="宋体"/>
                      <w:i/>
                      <w:szCs w:val="20"/>
                      <w:highlight w:val="cyan"/>
                      <w:lang w:val="en-GB" w:eastAsia="en-US"/>
                    </w:rPr>
                  </m:ctrlPr>
                </m:sup>
              </m:sSubSup>
            </m:oMath>
            <w:r>
              <w:rPr>
                <w:rFonts w:eastAsia="宋体"/>
                <w:szCs w:val="20"/>
                <w:highlight w:val="cyan"/>
                <w:lang w:val="en-GB" w:eastAsia="en-US"/>
              </w:rPr>
              <w:t xml:space="preserve">, and the minimum of the values provided by </w:t>
            </w:r>
            <w:r>
              <w:rPr>
                <w:rFonts w:eastAsia="宋体"/>
                <w:i/>
                <w:szCs w:val="20"/>
                <w:highlight w:val="cyan"/>
                <w:lang w:val="en-GB" w:eastAsia="en-US"/>
              </w:rPr>
              <w:t>k2</w:t>
            </w:r>
            <w:r>
              <w:rPr>
                <w:rFonts w:eastAsia="宋体"/>
                <w:szCs w:val="20"/>
                <w:highlight w:val="cyan"/>
                <w:lang w:val="en-GB" w:eastAsia="en-US"/>
              </w:rPr>
              <w:t xml:space="preserve"> in </w:t>
            </w:r>
            <w:r>
              <w:rPr>
                <w:rFonts w:eastAsia="宋体"/>
                <w:i/>
                <w:iCs/>
                <w:szCs w:val="20"/>
                <w:highlight w:val="cyan"/>
                <w:lang w:val="en-GB" w:eastAsia="en-US"/>
              </w:rPr>
              <w:t>PUSCH-ConfigCommon</w:t>
            </w:r>
            <w:r>
              <w:rPr>
                <w:rFonts w:eastAsia="宋体"/>
                <w:iCs/>
                <w:szCs w:val="20"/>
                <w:highlight w:val="cyan"/>
                <w:lang w:val="en-GB" w:eastAsia="en-US"/>
              </w:rPr>
              <w:t xml:space="preserve"> </w:t>
            </w:r>
            <w:r>
              <w:rPr>
                <w:rFonts w:eastAsia="宋体"/>
                <w:szCs w:val="20"/>
                <w:highlight w:val="cyan"/>
                <w:lang w:val="en-GB" w:eastAsia="en-US"/>
              </w:rPr>
              <w:t xml:space="preserve">for active </w:t>
            </w:r>
            <w:r>
              <w:rPr>
                <w:rFonts w:eastAsia="宋体"/>
                <w:szCs w:val="20"/>
                <w:highlight w:val="cyan"/>
                <w:lang w:eastAsia="en-US"/>
              </w:rPr>
              <w:t xml:space="preserve">UL BWP </w:t>
            </w:r>
            <m:oMath>
              <m:r>
                <m:rPr/>
                <w:rPr>
                  <w:rFonts w:ascii="Cambria Math" w:hAnsi="Cambria Math" w:eastAsia="宋体"/>
                  <w:szCs w:val="20"/>
                  <w:highlight w:val="cyan"/>
                  <w:lang w:val="en-GB" w:eastAsia="en-US"/>
                </w:rPr>
                <m:t>b</m:t>
              </m:r>
            </m:oMath>
            <w:r>
              <w:rPr>
                <w:rFonts w:eastAsia="宋体"/>
                <w:iCs/>
                <w:szCs w:val="20"/>
                <w:highlight w:val="cyan"/>
                <w:lang w:eastAsia="en-US"/>
              </w:rPr>
              <w:t xml:space="preserve"> </w:t>
            </w:r>
            <w:r>
              <w:rPr>
                <w:rFonts w:eastAsia="宋体"/>
                <w:szCs w:val="20"/>
                <w:highlight w:val="cyan"/>
                <w:lang w:eastAsia="en-US"/>
              </w:rPr>
              <w:t xml:space="preserve">of carrier </w:t>
            </w:r>
            <m:oMath>
              <m:r>
                <m:rPr/>
                <w:rPr>
                  <w:rFonts w:ascii="Cambria Math" w:hAnsi="Cambria Math" w:eastAsia="宋体"/>
                  <w:szCs w:val="20"/>
                  <w:highlight w:val="cyan"/>
                  <w:lang w:val="en-GB" w:eastAsia="en-US"/>
                </w:rPr>
                <m:t>f</m:t>
              </m:r>
            </m:oMath>
            <w:r>
              <w:rPr>
                <w:rFonts w:eastAsia="宋体"/>
                <w:iCs/>
                <w:szCs w:val="20"/>
                <w:highlight w:val="cyan"/>
                <w:lang w:eastAsia="en-US"/>
              </w:rPr>
              <w:t xml:space="preserve"> of</w:t>
            </w:r>
            <w:r>
              <w:rPr>
                <w:rFonts w:eastAsia="宋体"/>
                <w:szCs w:val="20"/>
                <w:highlight w:val="cyan"/>
                <w:lang w:val="en-GB" w:eastAsia="en-US"/>
              </w:rPr>
              <w:t xml:space="preserve"> serving cell </w:t>
            </w:r>
            <m:oMath>
              <m:r>
                <m:rPr/>
                <w:rPr>
                  <w:rFonts w:ascii="Cambria Math" w:hAnsi="Cambria Math" w:eastAsia="宋体"/>
                  <w:szCs w:val="20"/>
                  <w:highlight w:val="cyan"/>
                  <w:lang w:val="en-GB" w:eastAsia="en-US"/>
                </w:rPr>
                <m:t>c</m:t>
              </m:r>
            </m:oMath>
            <w:r>
              <w:rPr>
                <w:rFonts w:eastAsia="宋体"/>
                <w:szCs w:val="20"/>
                <w:lang w:val="en-GB" w:eastAsia="en-US"/>
              </w:rPr>
              <w:t xml:space="preserve"> </w:t>
            </w:r>
          </w:p>
          <w:p>
            <w:pPr>
              <w:adjustRightInd w:val="0"/>
              <w:spacing w:beforeAutospacing="0" w:after="180" w:afterLines="0"/>
              <w:ind w:left="1418" w:hanging="284"/>
              <w:rPr>
                <w:rFonts w:eastAsia="宋体"/>
                <w:szCs w:val="20"/>
                <w:lang w:eastAsia="en-US"/>
              </w:rPr>
            </w:pPr>
            <w:r>
              <w:rPr>
                <w:rFonts w:eastAsia="宋体"/>
                <w:szCs w:val="20"/>
                <w:lang w:val="en-GB" w:eastAsia="en-US"/>
              </w:rPr>
              <w:t>-</w:t>
            </w:r>
            <w:r>
              <w:rPr>
                <w:rFonts w:eastAsia="宋体"/>
                <w:szCs w:val="20"/>
                <w:lang w:val="en-GB" w:eastAsia="en-US"/>
              </w:rPr>
              <w:tab/>
            </w:r>
            <w:r>
              <w:rPr>
                <w:rFonts w:eastAsia="宋体"/>
                <w:szCs w:val="20"/>
                <w:lang w:val="en-GB" w:eastAsia="en-US"/>
              </w:rPr>
              <w:t xml:space="preserve">If the first symbol of the SRS transmission occasion occurs within </w:t>
            </w:r>
            <m:oMath>
              <m:sSub>
                <m:sSubPr>
                  <m:ctrlPr>
                    <w:rPr>
                      <w:rFonts w:ascii="Cambria Math" w:hAnsi="Cambria Math" w:eastAsia="宋体"/>
                      <w:i/>
                      <w:iCs/>
                      <w:sz w:val="24"/>
                      <w:lang w:val="en-GB" w:eastAsia="en-US"/>
                    </w:rPr>
                  </m:ctrlPr>
                </m:sSubPr>
                <m:e>
                  <m:r>
                    <m:rPr/>
                    <w:rPr>
                      <w:rFonts w:ascii="Cambria Math" w:hAnsi="Cambria Math" w:eastAsia="宋体"/>
                      <w:szCs w:val="20"/>
                      <w:lang w:val="en-GB" w:eastAsia="en-US"/>
                    </w:rPr>
                    <m:t>T</m:t>
                  </m:r>
                  <m:ctrlPr>
                    <w:rPr>
                      <w:rFonts w:ascii="Cambria Math" w:hAnsi="Cambria Math" w:eastAsia="宋体"/>
                      <w:i/>
                      <w:iCs/>
                      <w:sz w:val="24"/>
                      <w:lang w:val="en-GB" w:eastAsia="en-US"/>
                    </w:rPr>
                  </m:ctrlPr>
                </m:e>
                <m:sub>
                  <m:r>
                    <m:rPr>
                      <m:sty m:val="p"/>
                    </m:rPr>
                    <w:rPr>
                      <w:rFonts w:ascii="Cambria Math" w:hAnsi="Cambria Math" w:eastAsia="宋体"/>
                      <w:szCs w:val="20"/>
                      <w:lang w:val="en-GB" w:eastAsia="en-US"/>
                    </w:rPr>
                    <m:t>proc,2</m:t>
                  </m:r>
                  <m:ctrlPr>
                    <w:rPr>
                      <w:rFonts w:ascii="Cambria Math" w:hAnsi="Cambria Math" w:eastAsia="宋体"/>
                      <w:sz w:val="24"/>
                      <w:lang w:val="en-GB" w:eastAsia="en-US"/>
                    </w:rPr>
                  </m:ctrlPr>
                </m:sub>
              </m:sSub>
            </m:oMath>
            <w:r>
              <w:rPr>
                <w:rFonts w:eastAsia="宋体"/>
                <w:sz w:val="24"/>
                <w:lang w:val="en-GB" w:eastAsia="en-US"/>
              </w:rPr>
              <w:t xml:space="preserve"> </w:t>
            </w:r>
            <w:r>
              <w:rPr>
                <w:rFonts w:eastAsia="宋体"/>
                <w:szCs w:val="20"/>
                <w:lang w:val="en-GB" w:eastAsia="en-US"/>
              </w:rPr>
              <w:t>after a last symbol of a PDCCH reception where the UE detects the DCI format providing the TPC command, the UE may postpone the application of the TPC until the above condition is not valid</w:t>
            </w:r>
            <w:r>
              <w:rPr>
                <w:rFonts w:eastAsia="宋体"/>
                <w:sz w:val="24"/>
                <w:lang w:val="en-GB" w:eastAsia="en-US"/>
              </w:rPr>
              <w:t xml:space="preserve">. </w:t>
            </w:r>
            <m:oMath>
              <m:sSub>
                <m:sSubPr>
                  <m:ctrlPr>
                    <w:rPr>
                      <w:rFonts w:ascii="Cambria Math" w:hAnsi="Cambria Math" w:eastAsia="宋体"/>
                      <w:i/>
                      <w:iCs/>
                      <w:sz w:val="24"/>
                      <w:lang w:val="en-GB" w:eastAsia="en-US"/>
                    </w:rPr>
                  </m:ctrlPr>
                </m:sSubPr>
                <m:e>
                  <m:r>
                    <m:rPr/>
                    <w:rPr>
                      <w:rFonts w:ascii="Cambria Math" w:hAnsi="Cambria Math" w:eastAsia="宋体"/>
                      <w:szCs w:val="20"/>
                      <w:lang w:val="en-GB" w:eastAsia="en-US"/>
                    </w:rPr>
                    <m:t>T</m:t>
                  </m:r>
                  <m:ctrlPr>
                    <w:rPr>
                      <w:rFonts w:ascii="Cambria Math" w:hAnsi="Cambria Math" w:eastAsia="宋体"/>
                      <w:i/>
                      <w:iCs/>
                      <w:sz w:val="24"/>
                      <w:lang w:val="en-GB" w:eastAsia="en-US"/>
                    </w:rPr>
                  </m:ctrlPr>
                </m:e>
                <m:sub>
                  <m:r>
                    <m:rPr>
                      <m:sty m:val="p"/>
                    </m:rPr>
                    <w:rPr>
                      <w:rFonts w:ascii="Cambria Math" w:hAnsi="Cambria Math" w:eastAsia="宋体"/>
                      <w:szCs w:val="20"/>
                      <w:lang w:val="en-GB" w:eastAsia="en-US"/>
                    </w:rPr>
                    <m:t>proc,2</m:t>
                  </m:r>
                  <m:ctrlPr>
                    <w:rPr>
                      <w:rFonts w:ascii="Cambria Math" w:hAnsi="Cambria Math" w:eastAsia="宋体"/>
                      <w:i/>
                      <w:iCs/>
                      <w:sz w:val="24"/>
                      <w:lang w:val="en-GB" w:eastAsia="en-US"/>
                    </w:rPr>
                  </m:ctrlPr>
                </m:sub>
              </m:sSub>
            </m:oMath>
            <w:r>
              <w:rPr>
                <w:rFonts w:eastAsia="宋体"/>
                <w:szCs w:val="20"/>
                <w:lang w:val="en-GB" w:eastAsia="en-US"/>
              </w:rPr>
              <w:t xml:space="preserve"> is the PUSCH preparation time for the corresponding UE processing capability [6, TS 38.214] assuming </w:t>
            </w:r>
            <m:oMath>
              <m:sSub>
                <m:sSubPr>
                  <m:ctrlPr>
                    <w:rPr>
                      <w:rFonts w:ascii="Cambria Math" w:hAnsi="Cambria Math" w:eastAsia="宋体"/>
                      <w:i/>
                      <w:iCs/>
                      <w:sz w:val="24"/>
                      <w:lang w:val="en-GB" w:eastAsia="en-US"/>
                    </w:rPr>
                  </m:ctrlPr>
                </m:sSubPr>
                <m:e>
                  <m:r>
                    <m:rPr/>
                    <w:rPr>
                      <w:rFonts w:ascii="Cambria Math" w:hAnsi="Cambria Math" w:eastAsia="宋体"/>
                      <w:szCs w:val="20"/>
                      <w:lang w:val="en-GB" w:eastAsia="en-US"/>
                    </w:rPr>
                    <m:t>d</m:t>
                  </m:r>
                  <m:ctrlPr>
                    <w:rPr>
                      <w:rFonts w:ascii="Cambria Math" w:hAnsi="Cambria Math" w:eastAsia="宋体"/>
                      <w:i/>
                      <w:iCs/>
                      <w:sz w:val="24"/>
                      <w:lang w:val="en-GB" w:eastAsia="en-US"/>
                    </w:rPr>
                  </m:ctrlPr>
                </m:e>
                <m:sub>
                  <m:r>
                    <m:rPr>
                      <m:sty m:val="p"/>
                    </m:rPr>
                    <w:rPr>
                      <w:rFonts w:ascii="Cambria Math" w:hAnsi="Cambria Math" w:eastAsia="宋体"/>
                      <w:szCs w:val="20"/>
                      <w:lang w:val="en-GB" w:eastAsia="en-US"/>
                    </w:rPr>
                    <m:t>2,1</m:t>
                  </m:r>
                  <m:ctrlPr>
                    <w:rPr>
                      <w:rFonts w:ascii="Cambria Math" w:hAnsi="Cambria Math" w:eastAsia="宋体"/>
                      <w:sz w:val="24"/>
                      <w:lang w:val="en-GB" w:eastAsia="en-US"/>
                    </w:rPr>
                  </m:ctrlPr>
                </m:sub>
              </m:sSub>
              <m:r>
                <m:rPr/>
                <w:rPr>
                  <w:rFonts w:ascii="Cambria Math" w:hAnsi="Cambria Math" w:eastAsia="宋体"/>
                  <w:szCs w:val="20"/>
                  <w:lang w:val="en-GB" w:eastAsia="en-US"/>
                </w:rPr>
                <m:t>=0</m:t>
              </m:r>
            </m:oMath>
            <w:r>
              <w:rPr>
                <w:rFonts w:eastAsia="宋体"/>
                <w:iCs/>
                <w:szCs w:val="20"/>
                <w:lang w:val="en-GB" w:eastAsia="en-US"/>
              </w:rPr>
              <w:t xml:space="preserve">, </w:t>
            </w:r>
            <w:r>
              <w:rPr>
                <w:rFonts w:eastAsia="宋体"/>
                <w:szCs w:val="20"/>
                <w:lang w:val="en-GB" w:eastAsia="en-US"/>
              </w:rPr>
              <w:t xml:space="preserve">and </w:t>
            </w:r>
            <m:oMath>
              <m:r>
                <m:rPr/>
                <w:rPr>
                  <w:rFonts w:ascii="Cambria Math" w:hAnsi="Cambria Math" w:eastAsia="宋体"/>
                  <w:szCs w:val="20"/>
                  <w:lang w:val="en-GB" w:eastAsia="en-US"/>
                </w:rPr>
                <m:t>μ</m:t>
              </m:r>
            </m:oMath>
            <w:r>
              <w:rPr>
                <w:rFonts w:eastAsia="宋体"/>
                <w:szCs w:val="20"/>
                <w:lang w:val="en-GB" w:eastAsia="en-US"/>
              </w:rPr>
              <w:t xml:space="preserve"> corresponds to the smallest SCS configuration between the SCS configuration of the PDCCH carrying the DCI format and the SCS configuration of the SRS.</w:t>
            </w:r>
          </w:p>
          <w:p>
            <w:pPr>
              <w:adjustRightInd w:val="0"/>
              <w:spacing w:before="180" w:beforeLines="50" w:beforeAutospacing="0" w:after="0" w:afterLines="0"/>
              <w:jc w:val="center"/>
              <w:rPr>
                <w:rFonts w:eastAsia="宋体"/>
                <w:color w:val="FF0000"/>
                <w:szCs w:val="20"/>
              </w:rPr>
            </w:pPr>
            <w:r>
              <w:rPr>
                <w:rFonts w:eastAsia="宋体"/>
                <w:color w:val="FF0000"/>
                <w:szCs w:val="20"/>
              </w:rPr>
              <w:t>&lt;Unrelated parts are omitted&gt;</w:t>
            </w:r>
          </w:p>
          <w:p>
            <w:pPr>
              <w:adjustRightInd w:val="0"/>
              <w:spacing w:beforeAutospacing="0" w:after="180" w:afterLines="0"/>
              <w:ind w:left="851" w:hanging="284"/>
              <w:rPr>
                <w:rFonts w:eastAsia="宋体"/>
                <w:szCs w:val="20"/>
                <w:lang w:eastAsia="en-US"/>
              </w:rPr>
            </w:pPr>
            <w:r>
              <w:rPr>
                <w:rFonts w:eastAsia="宋体"/>
                <w:szCs w:val="20"/>
                <w:highlight w:val="magenta"/>
                <w:lang w:eastAsia="en-US"/>
              </w:rPr>
              <w:t>-</w:t>
            </w:r>
            <w:r>
              <w:rPr>
                <w:rFonts w:eastAsia="宋体"/>
                <w:szCs w:val="20"/>
                <w:highlight w:val="magenta"/>
                <w:lang w:eastAsia="en-US"/>
              </w:rPr>
              <w:tab/>
            </w:r>
            <m:oMath>
              <m:sSub>
                <m:sSubPr>
                  <m:ctrlPr>
                    <w:rPr>
                      <w:rFonts w:ascii="Cambria Math" w:hAnsi="Cambria Math" w:eastAsia="宋体"/>
                      <w:i/>
                      <w:szCs w:val="20"/>
                      <w:highlight w:val="magenta"/>
                      <w:lang w:val="zh-CN" w:eastAsia="en-US"/>
                    </w:rPr>
                  </m:ctrlPr>
                </m:sSubPr>
                <m:e>
                  <m:r>
                    <m:rPr/>
                    <w:rPr>
                      <w:rFonts w:ascii="Cambria Math" w:hAnsi="Cambria Math" w:eastAsia="宋体"/>
                      <w:szCs w:val="20"/>
                      <w:highlight w:val="magenta"/>
                      <w:lang w:eastAsia="en-US"/>
                    </w:rPr>
                    <m:t>ℎ</m:t>
                  </m:r>
                  <m:ctrlPr>
                    <w:rPr>
                      <w:rFonts w:ascii="Cambria Math" w:hAnsi="Cambria Math" w:eastAsia="宋体"/>
                      <w:i/>
                      <w:szCs w:val="20"/>
                      <w:highlight w:val="magenta"/>
                      <w:lang w:val="zh-CN" w:eastAsia="en-US"/>
                    </w:rPr>
                  </m:ctrlPr>
                </m:e>
                <m:sub>
                  <m:r>
                    <m:rPr/>
                    <w:rPr>
                      <w:rFonts w:ascii="Cambria Math" w:hAnsi="Cambria Math" w:eastAsia="宋体"/>
                      <w:szCs w:val="20"/>
                      <w:highlight w:val="magenta"/>
                      <w:lang w:val="zh-CN" w:eastAsia="en-US"/>
                    </w:rPr>
                    <m:t>b</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f</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c</m:t>
                  </m:r>
                  <m:ctrlPr>
                    <w:rPr>
                      <w:rFonts w:ascii="Cambria Math" w:hAnsi="Cambria Math" w:eastAsia="宋体"/>
                      <w:i/>
                      <w:szCs w:val="20"/>
                      <w:highlight w:val="magenta"/>
                      <w:lang w:val="zh-CN" w:eastAsia="en-US"/>
                    </w:rPr>
                  </m:ctrlPr>
                </m:sub>
              </m:sSub>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i</m:t>
              </m:r>
              <m:r>
                <m:rPr/>
                <w:rPr>
                  <w:rFonts w:ascii="Cambria Math" w:hAnsi="Cambria Math" w:eastAsia="宋体"/>
                  <w:szCs w:val="20"/>
                  <w:highlight w:val="magenta"/>
                  <w:lang w:eastAsia="en-US"/>
                </w:rPr>
                <m:t>)=</m:t>
              </m:r>
              <m:sSub>
                <m:sSubPr>
                  <m:ctrlPr>
                    <w:rPr>
                      <w:rFonts w:ascii="Cambria Math" w:hAnsi="Cambria Math" w:eastAsia="宋体"/>
                      <w:i/>
                      <w:szCs w:val="20"/>
                      <w:highlight w:val="magenta"/>
                      <w:lang w:val="zh-CN" w:eastAsia="en-US"/>
                    </w:rPr>
                  </m:ctrlPr>
                </m:sSubPr>
                <m:e>
                  <m:r>
                    <m:rPr/>
                    <w:rPr>
                      <w:rFonts w:ascii="Cambria Math" w:hAnsi="Cambria Math" w:eastAsia="宋体"/>
                      <w:szCs w:val="20"/>
                      <w:highlight w:val="magenta"/>
                      <w:lang w:val="zh-CN" w:eastAsia="en-US"/>
                    </w:rPr>
                    <m:t>δ</m:t>
                  </m:r>
                  <m:ctrlPr>
                    <w:rPr>
                      <w:rFonts w:ascii="Cambria Math" w:hAnsi="Cambria Math" w:eastAsia="宋体"/>
                      <w:i/>
                      <w:szCs w:val="20"/>
                      <w:highlight w:val="magenta"/>
                      <w:lang w:val="zh-CN" w:eastAsia="en-US"/>
                    </w:rPr>
                  </m:ctrlPr>
                </m:e>
                <m:sub>
                  <m:r>
                    <m:rPr>
                      <m:sty m:val="p"/>
                    </m:rPr>
                    <w:rPr>
                      <w:rFonts w:ascii="Cambria Math" w:hAnsi="Cambria Math" w:eastAsia="宋体"/>
                      <w:szCs w:val="20"/>
                      <w:highlight w:val="magenta"/>
                      <w:lang w:eastAsia="en-US"/>
                    </w:rPr>
                    <m:t>SRS</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b</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f</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c</m:t>
                  </m:r>
                  <m:ctrlPr>
                    <w:rPr>
                      <w:rFonts w:ascii="Cambria Math" w:hAnsi="Cambria Math" w:eastAsia="宋体"/>
                      <w:i/>
                      <w:szCs w:val="20"/>
                      <w:highlight w:val="magenta"/>
                      <w:lang w:val="zh-CN" w:eastAsia="en-US"/>
                    </w:rPr>
                  </m:ctrlPr>
                </m:sub>
              </m:sSub>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i</m:t>
              </m:r>
              <m:r>
                <m:rPr/>
                <w:rPr>
                  <w:rFonts w:ascii="Cambria Math" w:hAnsi="Cambria Math" w:eastAsia="宋体"/>
                  <w:szCs w:val="20"/>
                  <w:highlight w:val="magenta"/>
                  <w:lang w:eastAsia="en-US"/>
                </w:rPr>
                <m:t>)</m:t>
              </m:r>
            </m:oMath>
            <w:r>
              <w:rPr>
                <w:rFonts w:eastAsia="宋体"/>
                <w:szCs w:val="20"/>
                <w:highlight w:val="magenta"/>
                <w:lang w:eastAsia="en-US"/>
              </w:rPr>
              <w:t xml:space="preserve"> if the UE is not configured for PUSCH transmissions on active UL BWP </w:t>
            </w:r>
            <m:oMath>
              <m:r>
                <m:rPr/>
                <w:rPr>
                  <w:rFonts w:ascii="Cambria Math" w:hAnsi="Cambria Math" w:eastAsia="宋体"/>
                  <w:szCs w:val="20"/>
                  <w:highlight w:val="magenta"/>
                  <w:lang w:val="zh-CN" w:eastAsia="en-US"/>
                </w:rPr>
                <m:t>b</m:t>
              </m:r>
            </m:oMath>
            <w:r>
              <w:rPr>
                <w:rFonts w:eastAsia="宋体"/>
                <w:iCs/>
                <w:szCs w:val="20"/>
                <w:highlight w:val="magenta"/>
                <w:lang w:eastAsia="en-US"/>
              </w:rPr>
              <w:t xml:space="preserve"> </w:t>
            </w:r>
            <w:r>
              <w:rPr>
                <w:rFonts w:eastAsia="宋体"/>
                <w:szCs w:val="20"/>
                <w:highlight w:val="magenta"/>
                <w:lang w:eastAsia="en-US"/>
              </w:rPr>
              <w:t xml:space="preserve">of carrier </w:t>
            </w:r>
            <m:oMath>
              <m:r>
                <m:rPr/>
                <w:rPr>
                  <w:rFonts w:ascii="Cambria Math" w:hAnsi="Cambria Math" w:eastAsia="宋体"/>
                  <w:szCs w:val="20"/>
                  <w:highlight w:val="magenta"/>
                  <w:lang w:val="zh-CN" w:eastAsia="en-US"/>
                </w:rPr>
                <m:t>f</m:t>
              </m:r>
            </m:oMath>
            <w:r>
              <w:rPr>
                <w:rFonts w:eastAsia="宋体"/>
                <w:iCs/>
                <w:szCs w:val="20"/>
                <w:highlight w:val="magenta"/>
                <w:lang w:eastAsia="en-US"/>
              </w:rPr>
              <w:t xml:space="preserve"> of</w:t>
            </w:r>
            <w:r>
              <w:rPr>
                <w:rFonts w:eastAsia="宋体"/>
                <w:szCs w:val="20"/>
                <w:highlight w:val="magenta"/>
                <w:lang w:eastAsia="en-US"/>
              </w:rPr>
              <w:t xml:space="preserve"> serving cell </w:t>
            </w:r>
            <m:oMath>
              <m:r>
                <m:rPr/>
                <w:rPr>
                  <w:rFonts w:ascii="Cambria Math" w:hAnsi="Cambria Math" w:eastAsia="宋体"/>
                  <w:szCs w:val="20"/>
                  <w:highlight w:val="magenta"/>
                  <w:lang w:val="zh-CN" w:eastAsia="en-US"/>
                </w:rPr>
                <m:t>c</m:t>
              </m:r>
            </m:oMath>
            <w:r>
              <w:rPr>
                <w:rFonts w:eastAsia="宋体"/>
                <w:iCs/>
                <w:szCs w:val="20"/>
                <w:highlight w:val="magenta"/>
                <w:lang w:eastAsia="en-US"/>
              </w:rPr>
              <w:t>, or</w:t>
            </w:r>
            <w:r>
              <w:rPr>
                <w:rFonts w:eastAsia="宋体"/>
                <w:szCs w:val="20"/>
                <w:highlight w:val="magenta"/>
                <w:lang w:eastAsia="en-US"/>
              </w:rPr>
              <w:t xml:space="preserve"> if </w:t>
            </w:r>
            <w:r>
              <w:rPr>
                <w:rFonts w:eastAsia="宋体"/>
                <w:i/>
                <w:szCs w:val="20"/>
                <w:highlight w:val="magenta"/>
                <w:lang w:eastAsia="en-US"/>
              </w:rPr>
              <w:t>srs-PowerControlAdjustmentStates</w:t>
            </w:r>
            <w:r>
              <w:rPr>
                <w:rFonts w:eastAsia="宋体"/>
                <w:szCs w:val="20"/>
                <w:highlight w:val="magenta"/>
                <w:lang w:eastAsia="en-US"/>
              </w:rPr>
              <w:t xml:space="preserve"> indicates separate power control adjustment states between SRS transmissions and PUSCH transmissions, and </w:t>
            </w:r>
            <w:r>
              <w:rPr>
                <w:rFonts w:eastAsia="宋体"/>
                <w:i/>
                <w:szCs w:val="20"/>
                <w:highlight w:val="magenta"/>
                <w:lang w:eastAsia="en-US"/>
              </w:rPr>
              <w:t>tpc-Accumulation</w:t>
            </w:r>
            <w:r>
              <w:rPr>
                <w:rFonts w:eastAsia="宋体"/>
                <w:szCs w:val="20"/>
                <w:highlight w:val="magenta"/>
                <w:lang w:eastAsia="en-US"/>
              </w:rPr>
              <w:t xml:space="preserve"> is provided, and the UE detects a DCI format 2_3 </w:t>
            </w:r>
            <m:oMath>
              <m:sSub>
                <m:sSubPr>
                  <m:ctrlPr>
                    <w:rPr>
                      <w:rFonts w:ascii="Cambria Math" w:hAnsi="Cambria Math" w:eastAsia="宋体"/>
                      <w:i/>
                      <w:szCs w:val="20"/>
                      <w:highlight w:val="magenta"/>
                      <w:lang w:val="zh-CN" w:eastAsia="en-US"/>
                    </w:rPr>
                  </m:ctrlPr>
                </m:sSubPr>
                <m:e>
                  <m:r>
                    <m:rPr/>
                    <w:rPr>
                      <w:rFonts w:ascii="Cambria Math" w:hAnsi="Cambria Math" w:eastAsia="宋体"/>
                      <w:szCs w:val="20"/>
                      <w:highlight w:val="magenta"/>
                      <w:lang w:val="zh-CN" w:eastAsia="en-US"/>
                    </w:rPr>
                    <m:t>K</m:t>
                  </m:r>
                  <m:ctrlPr>
                    <w:rPr>
                      <w:rFonts w:ascii="Cambria Math" w:hAnsi="Cambria Math" w:eastAsia="宋体"/>
                      <w:i/>
                      <w:szCs w:val="20"/>
                      <w:highlight w:val="magenta"/>
                      <w:lang w:val="zh-CN" w:eastAsia="en-US"/>
                    </w:rPr>
                  </m:ctrlPr>
                </m:e>
                <m:sub>
                  <m:r>
                    <m:rPr>
                      <m:sty m:val="p"/>
                    </m:rPr>
                    <w:rPr>
                      <w:rFonts w:ascii="Cambria Math" w:hAnsi="Cambria Math" w:eastAsia="宋体"/>
                      <w:szCs w:val="20"/>
                      <w:highlight w:val="magenta"/>
                      <w:lang w:eastAsia="en-US"/>
                    </w:rPr>
                    <m:t>SRS,min</m:t>
                  </m:r>
                  <m:ctrlPr>
                    <w:rPr>
                      <w:rFonts w:ascii="Cambria Math" w:hAnsi="Cambria Math" w:eastAsia="宋体"/>
                      <w:i/>
                      <w:szCs w:val="20"/>
                      <w:highlight w:val="magenta"/>
                      <w:lang w:val="zh-CN" w:eastAsia="en-US"/>
                    </w:rPr>
                  </m:ctrlPr>
                </m:sub>
              </m:sSub>
            </m:oMath>
            <w:r>
              <w:rPr>
                <w:rFonts w:eastAsia="等线"/>
                <w:szCs w:val="20"/>
                <w:highlight w:val="magenta"/>
                <w:lang w:eastAsia="en-US"/>
              </w:rPr>
              <w:t xml:space="preserve"> symbols before a first symbol of</w:t>
            </w:r>
            <w:r>
              <w:rPr>
                <w:rFonts w:eastAsia="宋体"/>
                <w:szCs w:val="20"/>
                <w:highlight w:val="magenta"/>
                <w:lang w:eastAsia="en-US"/>
              </w:rPr>
              <w:t xml:space="preserve"> SRS transmission occasion </w:t>
            </w:r>
            <m:oMath>
              <m:r>
                <m:rPr/>
                <w:rPr>
                  <w:rFonts w:ascii="Cambria Math" w:hAnsi="Cambria Math" w:eastAsia="宋体"/>
                  <w:szCs w:val="20"/>
                  <w:highlight w:val="magenta"/>
                  <w:lang w:eastAsia="en-US"/>
                </w:rPr>
                <m:t>i</m:t>
              </m:r>
            </m:oMath>
            <w:r>
              <w:rPr>
                <w:rFonts w:eastAsia="宋体"/>
                <w:szCs w:val="20"/>
                <w:highlight w:val="magenta"/>
                <w:lang w:eastAsia="en-US"/>
              </w:rPr>
              <w:t xml:space="preserve">, where absolute values of </w:t>
            </w:r>
            <m:oMath>
              <m:sSub>
                <m:sSubPr>
                  <m:ctrlPr>
                    <w:rPr>
                      <w:rFonts w:ascii="Cambria Math" w:hAnsi="Cambria Math" w:eastAsia="宋体"/>
                      <w:i/>
                      <w:szCs w:val="20"/>
                      <w:highlight w:val="magenta"/>
                      <w:lang w:val="zh-CN" w:eastAsia="en-US"/>
                    </w:rPr>
                  </m:ctrlPr>
                </m:sSubPr>
                <m:e>
                  <m:r>
                    <m:rPr/>
                    <w:rPr>
                      <w:rFonts w:ascii="Cambria Math" w:hAnsi="Cambria Math" w:eastAsia="宋体"/>
                      <w:szCs w:val="20"/>
                      <w:highlight w:val="magenta"/>
                      <w:lang w:val="zh-CN" w:eastAsia="en-US"/>
                    </w:rPr>
                    <m:t>δ</m:t>
                  </m:r>
                  <m:ctrlPr>
                    <w:rPr>
                      <w:rFonts w:ascii="Cambria Math" w:hAnsi="Cambria Math" w:eastAsia="宋体"/>
                      <w:i/>
                      <w:szCs w:val="20"/>
                      <w:highlight w:val="magenta"/>
                      <w:lang w:val="zh-CN" w:eastAsia="en-US"/>
                    </w:rPr>
                  </m:ctrlPr>
                </m:e>
                <m:sub>
                  <m:r>
                    <m:rPr>
                      <m:sty m:val="p"/>
                    </m:rPr>
                    <w:rPr>
                      <w:rFonts w:ascii="Cambria Math" w:hAnsi="Cambria Math" w:eastAsia="宋体"/>
                      <w:szCs w:val="20"/>
                      <w:highlight w:val="magenta"/>
                      <w:lang w:eastAsia="en-US"/>
                    </w:rPr>
                    <m:t>SRS</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b</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f</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c</m:t>
                  </m:r>
                  <m:ctrlPr>
                    <w:rPr>
                      <w:rFonts w:ascii="Cambria Math" w:hAnsi="Cambria Math" w:eastAsia="宋体"/>
                      <w:i/>
                      <w:szCs w:val="20"/>
                      <w:highlight w:val="magenta"/>
                      <w:lang w:val="zh-CN" w:eastAsia="en-US"/>
                    </w:rPr>
                  </m:ctrlPr>
                </m:sub>
              </m:sSub>
            </m:oMath>
            <w:r>
              <w:rPr>
                <w:rFonts w:eastAsia="宋体"/>
                <w:szCs w:val="20"/>
                <w:highlight w:val="magenta"/>
                <w:lang w:eastAsia="en-US"/>
              </w:rPr>
              <w:t xml:space="preserve"> are provided in Table 7.1.1-1</w:t>
            </w:r>
          </w:p>
          <w:p>
            <w:pPr>
              <w:adjustRightInd w:val="0"/>
              <w:spacing w:beforeAutospacing="0" w:after="180" w:afterLines="0"/>
              <w:jc w:val="center"/>
              <w:rPr>
                <w:rFonts w:eastAsia="宋体"/>
              </w:rPr>
            </w:pPr>
            <w:r>
              <w:rPr>
                <w:rFonts w:eastAsia="宋体"/>
                <w:color w:val="FF0000"/>
                <w:szCs w:val="20"/>
              </w:rPr>
              <w:t>&lt;Unrelated parts are omitted&gt;</w:t>
            </w:r>
          </w:p>
        </w:tc>
      </w:tr>
    </w:tbl>
    <w:p>
      <w:pPr>
        <w:adjustRightInd w:val="0"/>
        <w:spacing w:before="180" w:beforeLines="50" w:beforeAutospacing="0" w:after="0" w:afterLines="0"/>
        <w:jc w:val="both"/>
        <w:rPr>
          <w:rFonts w:eastAsia="宋体"/>
          <w:szCs w:val="20"/>
        </w:rPr>
      </w:pPr>
      <w:r>
        <w:rPr>
          <w:rFonts w:eastAsia="宋体"/>
          <w:szCs w:val="20"/>
        </w:rPr>
        <w:t>Regarding the application manner of TPC command indicated by DCI format 1_1 for SRS transmission with separate CLPC adjustment state, we think the same mechanisms (including both accumulated TPC command and absolute TPC command) of DCI format 2_3 can be fully reused.</w:t>
      </w:r>
    </w:p>
    <w:p>
      <w:pPr>
        <w:adjustRightInd w:val="0"/>
        <w:spacing w:before="180" w:beforeLines="50" w:beforeAutospacing="0" w:after="0" w:afterLines="0"/>
        <w:jc w:val="both"/>
        <w:rPr>
          <w:rFonts w:eastAsia="宋体"/>
          <w:i/>
          <w:szCs w:val="20"/>
        </w:rPr>
      </w:pPr>
      <w:r>
        <w:rPr>
          <w:rFonts w:eastAsia="宋体"/>
          <w:b/>
          <w:bCs/>
          <w:i/>
          <w:iCs/>
          <w:szCs w:val="20"/>
        </w:rPr>
        <w:t>Proposal 4:</w:t>
      </w:r>
      <w:r>
        <w:rPr>
          <w:rFonts w:eastAsia="宋体"/>
          <w:i/>
          <w:iCs/>
          <w:szCs w:val="20"/>
        </w:rPr>
        <w:t xml:space="preserve"> For application manner of TPC command indicated by DCI format 1_1 for SRS with separate CLPC adjustment state, support to reuse the legacy mechanisms of DCI format 2_3</w:t>
      </w:r>
      <w:r>
        <w:rPr>
          <w:rFonts w:eastAsia="宋体"/>
          <w:i/>
          <w:szCs w:val="20"/>
        </w:rPr>
        <w:t>.</w:t>
      </w:r>
    </w:p>
    <w:p>
      <w:pPr>
        <w:adjustRightInd w:val="0"/>
        <w:spacing w:after="180"/>
        <w:jc w:val="both"/>
        <w:rPr>
          <w:rFonts w:eastAsia="Batang"/>
          <w:szCs w:val="20"/>
          <w:lang w:val="en-GB" w:eastAsia="en-US"/>
        </w:rPr>
      </w:pPr>
      <w:r>
        <w:rPr>
          <w:rFonts w:eastAsia="宋体"/>
          <w:szCs w:val="20"/>
        </w:rPr>
        <w:t xml:space="preserve">Regarding the concern on </w:t>
      </w:r>
      <w:r>
        <w:rPr>
          <w:rFonts w:eastAsia="Batang"/>
          <w:szCs w:val="20"/>
          <w:lang w:val="en-GB" w:eastAsia="en-US"/>
        </w:rPr>
        <w:t xml:space="preserve">Alt2 of the following agreement reached in RAN1#116bis meeting, we think the potential issues with beam management as pointed out by companies is valid, due to Alt2 deviates from the legacy rule of SRS power control determination under unified TCI framework [3]. </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adjustRightInd w:val="0"/>
              <w:spacing w:beforeAutospacing="0" w:after="0" w:afterLines="0"/>
              <w:rPr>
                <w:rFonts w:eastAsia="等线"/>
                <w:b/>
                <w:bCs/>
                <w:szCs w:val="20"/>
                <w:u w:val="single"/>
              </w:rPr>
            </w:pPr>
            <w:r>
              <w:rPr>
                <w:rFonts w:eastAsia="等线"/>
                <w:b/>
                <w:bCs/>
                <w:szCs w:val="20"/>
                <w:u w:val="single"/>
              </w:rPr>
              <w:t>Agreement</w:t>
            </w:r>
          </w:p>
          <w:p>
            <w:pPr>
              <w:adjustRightInd w:val="0"/>
              <w:spacing w:beforeAutospacing="0" w:after="0" w:afterLines="0"/>
              <w:rPr>
                <w:rFonts w:eastAsia="等线"/>
                <w:szCs w:val="20"/>
              </w:rPr>
            </w:pPr>
            <w:r>
              <w:rPr>
                <w:rFonts w:eastAsia="等线"/>
                <w:szCs w:val="20"/>
              </w:rPr>
              <w:t xml:space="preserve">For a UE configured with two SRS CLPC adjustment states, support </w:t>
            </w:r>
            <w:r>
              <w:rPr>
                <w:rFonts w:eastAsia="等线"/>
                <w:b/>
                <w:bCs/>
                <w:szCs w:val="20"/>
              </w:rPr>
              <w:t>Alt2</w:t>
            </w:r>
            <w:r>
              <w:rPr>
                <w:rFonts w:eastAsia="等线"/>
                <w:szCs w:val="20"/>
              </w:rPr>
              <w:t xml:space="preserve"> for indicating one of the SRS CLPC adjustment states to SRS:</w:t>
            </w:r>
          </w:p>
          <w:p>
            <w:pPr>
              <w:numPr>
                <w:ilvl w:val="0"/>
                <w:numId w:val="14"/>
              </w:numPr>
              <w:adjustRightInd w:val="0"/>
              <w:spacing w:beforeAutospacing="0" w:after="0" w:afterLines="0"/>
              <w:jc w:val="both"/>
              <w:rPr>
                <w:rFonts w:eastAsia="等线"/>
                <w:szCs w:val="20"/>
              </w:rPr>
            </w:pPr>
            <w:r>
              <w:rPr>
                <w:rFonts w:eastAsia="等线"/>
                <w:szCs w:val="20"/>
              </w:rPr>
              <w:t>Alt2: When the parameter srs-PowerControlAdjustmentStates is set to 'separateClosedLoop', closedLoopIndex-r17 for SRS in the TCI state indicates one of the SRS CLPC adjustment states</w:t>
            </w:r>
          </w:p>
          <w:p>
            <w:pPr>
              <w:numPr>
                <w:ilvl w:val="1"/>
                <w:numId w:val="14"/>
              </w:numPr>
              <w:adjustRightInd w:val="0"/>
              <w:spacing w:beforeAutospacing="0" w:after="0" w:afterLines="0"/>
              <w:jc w:val="both"/>
              <w:rPr>
                <w:rFonts w:eastAsia="等线"/>
                <w:szCs w:val="20"/>
              </w:rPr>
            </w:pPr>
            <w:r>
              <w:rPr>
                <w:bCs/>
                <w:iCs/>
                <w:szCs w:val="20"/>
              </w:rPr>
              <w:t xml:space="preserve">The candidate value of i0 and i1 in </w:t>
            </w:r>
            <w:r>
              <w:rPr>
                <w:bCs/>
                <w:i/>
                <w:szCs w:val="20"/>
              </w:rPr>
              <w:t>closedLoopIndex-r17</w:t>
            </w:r>
            <w:r>
              <w:rPr>
                <w:bCs/>
                <w:iCs/>
                <w:szCs w:val="20"/>
              </w:rPr>
              <w:t xml:space="preserve"> for SRS refers to the first and the second CLPC adjustment state separate from PUSCH, respectively</w:t>
            </w:r>
          </w:p>
          <w:p>
            <w:pPr>
              <w:adjustRightInd w:val="0"/>
              <w:spacing w:beforeAutospacing="0" w:after="0" w:afterLines="0"/>
              <w:rPr>
                <w:rFonts w:eastAsia="Batang"/>
                <w:szCs w:val="20"/>
              </w:rPr>
            </w:pPr>
            <w:r>
              <w:rPr>
                <w:rFonts w:eastAsia="Batang"/>
                <w:szCs w:val="20"/>
              </w:rPr>
              <w:t>Ericsson raised concerns on Alt2 due to potential issues with beam management.</w:t>
            </w:r>
          </w:p>
        </w:tc>
      </w:tr>
    </w:tbl>
    <w:p>
      <w:pPr>
        <w:adjustRightInd w:val="0"/>
        <w:spacing w:after="180"/>
        <w:jc w:val="both"/>
        <w:rPr>
          <w:szCs w:val="20"/>
        </w:rPr>
      </w:pPr>
      <w:r>
        <w:rPr>
          <w:rFonts w:eastAsia="Batang"/>
          <w:szCs w:val="20"/>
          <w:lang w:val="en-GB" w:eastAsia="en-US"/>
        </w:rPr>
        <w:t xml:space="preserve">As shown in the following excerpts in TS 38.213, if </w:t>
      </w:r>
      <w:r>
        <w:rPr>
          <w:i/>
          <w:iCs/>
          <w:szCs w:val="20"/>
        </w:rPr>
        <w:t>followUnifiedTCI-StateSRS</w:t>
      </w:r>
      <w:r>
        <w:rPr>
          <w:szCs w:val="20"/>
        </w:rPr>
        <w:t xml:space="preserve"> is not provided for an SRS resource set (e.g., that is used for beam management), SRS CLPC adjustment state is provided by </w:t>
      </w:r>
      <w:r>
        <w:rPr>
          <w:i/>
          <w:szCs w:val="20"/>
        </w:rPr>
        <w:t>p0AlphaSetforSRS</w:t>
      </w:r>
      <w:r>
        <w:rPr>
          <w:szCs w:val="20"/>
        </w:rPr>
        <w:t xml:space="preserve"> associated with joint/UL TCI state of an SRS resource with lowest </w:t>
      </w:r>
      <w:r>
        <w:rPr>
          <w:i/>
          <w:iCs/>
          <w:szCs w:val="20"/>
        </w:rPr>
        <w:t>SRS-ResourceId</w:t>
      </w:r>
      <w:r>
        <w:rPr>
          <w:szCs w:val="20"/>
        </w:rPr>
        <w:t xml:space="preserve"> in the SRS resource set. Apparently, it is different from the mechanism of Alt2 that SRS CLPC adjustment state is provided by </w:t>
      </w:r>
      <w:r>
        <w:rPr>
          <w:i/>
          <w:szCs w:val="20"/>
        </w:rPr>
        <w:t>p0AlphaSetforSRS</w:t>
      </w:r>
      <w:r>
        <w:rPr>
          <w:szCs w:val="20"/>
        </w:rPr>
        <w:t xml:space="preserve"> associated with the indicated joint/UL TCI state for SRS.</w:t>
      </w:r>
    </w:p>
    <w:p>
      <w:pPr>
        <w:pStyle w:val="52"/>
        <w:numPr>
          <w:ilvl w:val="0"/>
          <w:numId w:val="13"/>
        </w:numPr>
        <w:spacing w:before="180" w:beforeLines="50" w:after="0" w:afterLines="0"/>
        <w:ind w:leftChars="0"/>
        <w:rPr>
          <w:rFonts w:ascii="Times New Roman" w:hAnsi="Times New Roman" w:eastAsia="宋体"/>
          <w:b/>
          <w:szCs w:val="20"/>
        </w:rPr>
      </w:pPr>
      <w:r>
        <w:rPr>
          <w:rFonts w:ascii="Times New Roman" w:hAnsi="Times New Roman" w:eastAsia="宋体"/>
          <w:b/>
          <w:szCs w:val="20"/>
        </w:rPr>
        <w:t>TS 38.213</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adjustRightInd w:val="0"/>
              <w:spacing w:beforeAutospacing="0" w:after="180" w:afterLines="0"/>
              <w:rPr>
                <w:rFonts w:ascii="Arial" w:hAnsi="Arial" w:eastAsia="宋体" w:cs="Arial"/>
                <w:sz w:val="36"/>
                <w:szCs w:val="36"/>
              </w:rPr>
            </w:pPr>
            <w:bookmarkStart w:id="1" w:name="_Hlk181971491"/>
            <w:r>
              <w:rPr>
                <w:rFonts w:ascii="Arial" w:hAnsi="Arial" w:eastAsia="宋体" w:cs="Arial"/>
                <w:sz w:val="36"/>
                <w:szCs w:val="36"/>
              </w:rPr>
              <w:t>7  Uplink Power Control</w:t>
            </w:r>
          </w:p>
          <w:p>
            <w:pPr>
              <w:adjustRightInd w:val="0"/>
              <w:spacing w:after="180"/>
              <w:jc w:val="center"/>
              <w:rPr>
                <w:rFonts w:eastAsia="宋体"/>
                <w:color w:val="FF0000"/>
              </w:rPr>
            </w:pPr>
            <w:r>
              <w:rPr>
                <w:rFonts w:eastAsia="宋体"/>
                <w:color w:val="FF0000"/>
              </w:rPr>
              <w:t>&lt;</w:t>
            </w:r>
            <w:r>
              <w:rPr>
                <w:rFonts w:hint="eastAsia" w:eastAsia="宋体"/>
                <w:color w:val="FF0000"/>
              </w:rPr>
              <w:t xml:space="preserve">Unrelated </w:t>
            </w:r>
            <w:r>
              <w:rPr>
                <w:rFonts w:eastAsia="宋体"/>
                <w:color w:val="FF0000"/>
              </w:rPr>
              <w:t>parts are omitted&gt;</w:t>
            </w:r>
          </w:p>
          <w:p>
            <w:pPr>
              <w:adjustRightInd w:val="0"/>
              <w:spacing w:after="180"/>
              <w:rPr>
                <w:lang w:eastAsia="ko-KR"/>
              </w:rPr>
            </w:pPr>
            <w:r>
              <w:rPr>
                <w:lang w:eastAsia="ko-KR"/>
              </w:rPr>
              <w:t xml:space="preserve">In the remaining of this clause, if a UE is provided </w:t>
            </w:r>
            <w:r>
              <w:rPr>
                <w:i/>
                <w:iCs/>
                <w:szCs w:val="18"/>
              </w:rPr>
              <w:t>TCI-State</w:t>
            </w:r>
            <w:r>
              <w:rPr>
                <w:iCs/>
                <w:szCs w:val="18"/>
              </w:rPr>
              <w:t xml:space="preserve"> in</w:t>
            </w:r>
            <w:r>
              <w:t xml:space="preserve"> </w:t>
            </w:r>
            <w:r>
              <w:rPr>
                <w:i/>
                <w:szCs w:val="18"/>
              </w:rPr>
              <w:t>dl-OrJointTCI-StateList</w:t>
            </w:r>
            <w:r>
              <w:rPr>
                <w:iCs/>
                <w:szCs w:val="18"/>
              </w:rPr>
              <w:t xml:space="preserve"> or</w:t>
            </w:r>
            <w:r>
              <w:t xml:space="preserve"> </w:t>
            </w:r>
            <w:r>
              <w:rPr>
                <w:i/>
                <w:iCs/>
              </w:rPr>
              <w:t>TCI-UL-State,</w:t>
            </w:r>
            <w:r>
              <w:rPr>
                <w:lang w:eastAsia="ko-KR"/>
              </w:rPr>
              <w:t xml:space="preserve"> and for each indicated one or two </w:t>
            </w:r>
            <w:r>
              <w:rPr>
                <w:i/>
                <w:iCs/>
                <w:szCs w:val="18"/>
              </w:rPr>
              <w:t>TCI-State</w:t>
            </w:r>
            <w:r>
              <w:rPr>
                <w:iCs/>
                <w:szCs w:val="18"/>
              </w:rPr>
              <w:t xml:space="preserve"> or</w:t>
            </w:r>
            <w:r>
              <w:t xml:space="preserve"> </w:t>
            </w:r>
            <w:r>
              <w:rPr>
                <w:i/>
                <w:iCs/>
              </w:rPr>
              <w:t>TCI-UL-State</w:t>
            </w:r>
            <w:r>
              <w:t xml:space="preserve"> of a PUSCH, PUCCH, or SRS transmission occasion as described in [6, TS 38.214]</w:t>
            </w:r>
            <w:r>
              <w:rPr>
                <w:lang w:eastAsia="ko-KR"/>
              </w:rPr>
              <w:t xml:space="preserve"> </w:t>
            </w:r>
          </w:p>
          <w:p>
            <w:pPr>
              <w:pStyle w:val="69"/>
              <w:spacing w:before="108" w:after="108"/>
              <w:jc w:val="center"/>
            </w:pPr>
            <w:r>
              <w:rPr>
                <w:rFonts w:eastAsia="宋体"/>
                <w:color w:val="FF0000"/>
              </w:rPr>
              <w:t>&lt;</w:t>
            </w:r>
            <w:r>
              <w:rPr>
                <w:rFonts w:hint="eastAsia" w:eastAsia="宋体"/>
                <w:color w:val="FF0000"/>
              </w:rPr>
              <w:t xml:space="preserve">Unrelated </w:t>
            </w:r>
            <w:r>
              <w:rPr>
                <w:rFonts w:eastAsia="宋体"/>
                <w:color w:val="FF0000"/>
              </w:rPr>
              <w:t>parts are omitted&gt;</w:t>
            </w:r>
          </w:p>
          <w:p>
            <w:pPr>
              <w:pStyle w:val="69"/>
              <w:spacing w:before="108" w:after="108"/>
            </w:pPr>
            <w:r>
              <w:t>-</w:t>
            </w:r>
            <w:r>
              <w:tab/>
            </w:r>
            <w:r>
              <w:t xml:space="preserve">in clause 7.3.1, if </w:t>
            </w:r>
            <w:r>
              <w:rPr>
                <w:i/>
              </w:rPr>
              <w:t>p0AlphaSetforSRS</w:t>
            </w:r>
            <w:r>
              <w:t xml:space="preserve"> is provided, </w:t>
            </w:r>
          </w:p>
          <w:p>
            <w:pPr>
              <w:pStyle w:val="58"/>
              <w:adjustRightInd w:val="0"/>
              <w:spacing w:before="108" w:after="180"/>
            </w:pPr>
            <w:r>
              <w:t>-</w:t>
            </w:r>
            <w:r>
              <w:tab/>
            </w:r>
            <w:r>
              <w:t xml:space="preserve">if </w:t>
            </w:r>
            <w:r>
              <w:rPr>
                <w:i/>
                <w:iCs/>
              </w:rPr>
              <w:t>followUnifiedTCI</w:t>
            </w:r>
            <w:r>
              <w:rPr>
                <w:i/>
                <w:iCs/>
                <w:lang w:val="en-GB"/>
              </w:rPr>
              <w:t>-S</w:t>
            </w:r>
            <w:r>
              <w:rPr>
                <w:i/>
                <w:iCs/>
              </w:rPr>
              <w:t>tateSRS</w:t>
            </w:r>
            <w:r>
              <w:t xml:space="preserve"> is provided for a SRS resource set, </w:t>
            </w:r>
            <w:r>
              <w:rPr>
                <w:lang w:eastAsia="ko-KR"/>
              </w:rPr>
              <w:t>the values of</w:t>
            </w:r>
            <w:r>
              <w:rPr>
                <w:lang w:val="en-GB" w:eastAsia="ko-KR"/>
              </w:rPr>
              <w:t xml:space="preserve"> </w:t>
            </w:r>
            <w:r>
              <w:rPr>
                <w:lang w:eastAsia="ko-KR"/>
              </w:rPr>
              <w:t xml:space="preserve">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hAnsi="Cambria Math"/>
                      <w:iCs/>
                    </w:rPr>
                    <m:t>O_UE_SRS</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hAnsi="Cambria Math"/>
                        </w:rPr>
                        <m:t>s</m:t>
                      </m:r>
                      <m:ctrlPr>
                        <w:rPr>
                          <w:rFonts w:ascii="Cambria Math" w:hAnsi="Cambria Math"/>
                          <w:iCs/>
                        </w:rPr>
                      </m:ctrlPr>
                    </m:sub>
                  </m:sSub>
                  <m:ctrlPr>
                    <w:rPr>
                      <w:rFonts w:ascii="Cambria Math" w:hAnsi="Cambria Math"/>
                    </w:rPr>
                  </m:ctrlPr>
                </m:e>
              </m:d>
            </m:oMath>
            <w:r>
              <w:t xml:space="preserve">, </w:t>
            </w:r>
            <m:oMath>
              <m:sSub>
                <m:sSubPr>
                  <m:ctrlPr>
                    <w:rPr>
                      <w:rFonts w:ascii="Cambria Math" w:hAnsi="Cambria Math"/>
                      <w:iCs/>
                    </w:rPr>
                  </m:ctrlPr>
                </m:sSubPr>
                <m:e>
                  <m:r>
                    <m:rPr/>
                    <w:rPr>
                      <w:rFonts w:ascii="Cambria Math" w:hAnsi="Cambria Math"/>
                    </w:rPr>
                    <m:t>α</m:t>
                  </m:r>
                  <m:ctrlPr>
                    <w:rPr>
                      <w:rFonts w:ascii="Cambria Math" w:hAnsi="Cambria Math"/>
                      <w:iCs/>
                    </w:rPr>
                  </m:ctrlPr>
                </m:e>
                <m:sub>
                  <m:r>
                    <m:rPr>
                      <m:sty m:val="p"/>
                    </m:rPr>
                    <w:rPr>
                      <w:rFonts w:ascii="Cambria Math" w:hAnsi="Cambria Math"/>
                    </w:rPr>
                    <m:t>SRS</m:t>
                  </m:r>
                  <m:r>
                    <m:rPr/>
                    <w:rPr>
                      <w:rFonts w:ascii="Cambria Math" w:hAnsi="Cambria Math"/>
                    </w:rPr>
                    <m:t>,b</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hAnsi="Cambria Math"/>
                        </w:rPr>
                        <m:t>s</m:t>
                      </m:r>
                      <m:ctrlPr>
                        <w:rPr>
                          <w:rFonts w:ascii="Cambria Math" w:hAnsi="Cambria Math"/>
                          <w:iCs/>
                        </w:rPr>
                      </m:ctrlPr>
                    </m:sub>
                  </m:sSub>
                  <m:ctrlPr>
                    <w:rPr>
                      <w:rFonts w:ascii="Cambria Math" w:hAnsi="Cambria Math"/>
                    </w:rPr>
                  </m:ctrlPr>
                </m:e>
              </m:d>
            </m:oMath>
            <w:r>
              <w:t xml:space="preserve">, and SRS power control adjustment state </w:t>
            </w:r>
            <m:oMath>
              <m:r>
                <m:rPr/>
                <w:rPr>
                  <w:rFonts w:ascii="Cambria Math" w:hAnsi="Cambria Math"/>
                </w:rPr>
                <m:t>l</m:t>
              </m:r>
            </m:oMath>
            <w:r>
              <w:t xml:space="preserve"> are provided by </w:t>
            </w:r>
            <w:r>
              <w:rPr>
                <w:i/>
              </w:rPr>
              <w:t>p0AlphaSetforSRS</w:t>
            </w:r>
            <w:r>
              <w:t xml:space="preserve"> associated with the indicated </w:t>
            </w:r>
            <w:r>
              <w:rPr>
                <w:i/>
                <w:iCs/>
              </w:rPr>
              <w:t>TCI</w:t>
            </w:r>
            <w:r>
              <w:rPr>
                <w:i/>
                <w:iCs/>
                <w:lang w:val="en-GB"/>
              </w:rPr>
              <w:t>-</w:t>
            </w:r>
            <w:r>
              <w:rPr>
                <w:i/>
                <w:iCs/>
              </w:rPr>
              <w:t>State</w:t>
            </w:r>
            <w:r>
              <w:t xml:space="preserve"> or </w:t>
            </w:r>
            <w:r>
              <w:rPr>
                <w:i/>
                <w:iCs/>
              </w:rPr>
              <w:t>TCI-UL-State</w:t>
            </w:r>
          </w:p>
          <w:p>
            <w:pPr>
              <w:pStyle w:val="58"/>
              <w:adjustRightInd w:val="0"/>
              <w:spacing w:before="108" w:after="180"/>
            </w:pPr>
            <w:r>
              <w:t>-</w:t>
            </w:r>
            <w:r>
              <w:tab/>
            </w:r>
            <w:r>
              <w:t xml:space="preserve">else, </w:t>
            </w:r>
            <w:r>
              <w:rPr>
                <w:highlight w:val="yellow"/>
              </w:rPr>
              <w:t xml:space="preserve">if </w:t>
            </w:r>
            <w:r>
              <w:rPr>
                <w:i/>
                <w:iCs/>
                <w:highlight w:val="yellow"/>
              </w:rPr>
              <w:t>followUnifiedTCI</w:t>
            </w:r>
            <w:r>
              <w:rPr>
                <w:i/>
                <w:iCs/>
                <w:highlight w:val="yellow"/>
                <w:lang w:val="en-GB"/>
              </w:rPr>
              <w:t>-S</w:t>
            </w:r>
            <w:r>
              <w:rPr>
                <w:i/>
                <w:iCs/>
                <w:highlight w:val="yellow"/>
              </w:rPr>
              <w:t>tateSRS</w:t>
            </w:r>
            <w:r>
              <w:rPr>
                <w:highlight w:val="yellow"/>
              </w:rPr>
              <w:t xml:space="preserve"> is not provided for a SRS resource set and for a SRS resource from the SRS resource set</w:t>
            </w:r>
            <w:r>
              <w:rPr>
                <w:highlight w:val="yellow"/>
                <w:lang w:val="en-GB"/>
              </w:rPr>
              <w:t>,</w:t>
            </w:r>
            <w:r>
              <w:rPr>
                <w:highlight w:val="yellow"/>
                <w:lang w:eastAsia="ko-KR"/>
              </w:rPr>
              <w:t xml:space="preserve"> the values of </w:t>
            </w:r>
            <m:oMath>
              <m:sSub>
                <m:sSubPr>
                  <m:ctrlPr>
                    <w:rPr>
                      <w:rFonts w:ascii="Cambria Math" w:hAnsi="Cambria Math"/>
                      <w:iCs/>
                      <w:highlight w:val="yellow"/>
                    </w:rPr>
                  </m:ctrlPr>
                </m:sSubPr>
                <m:e>
                  <m:r>
                    <m:rPr/>
                    <w:rPr>
                      <w:rFonts w:ascii="Cambria Math" w:hAnsi="Cambria Math"/>
                      <w:highlight w:val="yellow"/>
                    </w:rPr>
                    <m:t>P</m:t>
                  </m:r>
                  <m:ctrlPr>
                    <w:rPr>
                      <w:rFonts w:ascii="Cambria Math" w:hAnsi="Cambria Math"/>
                      <w:iCs/>
                      <w:highlight w:val="yellow"/>
                    </w:rPr>
                  </m:ctrlPr>
                </m:e>
                <m:sub>
                  <m:r>
                    <m:rPr>
                      <m:nor/>
                      <m:sty m:val="p"/>
                    </m:rPr>
                    <w:rPr>
                      <w:rFonts w:ascii="Cambria Math" w:hAnsi="Cambria Math"/>
                      <w:iCs/>
                      <w:highlight w:val="yellow"/>
                    </w:rPr>
                    <m:t>O_UE_SRS</m:t>
                  </m:r>
                  <m:r>
                    <m:rPr>
                      <m:sty m:val="p"/>
                    </m:rPr>
                    <w:rPr>
                      <w:rFonts w:ascii="Cambria Math" w:hAnsi="Cambria Math"/>
                      <w:highlight w:val="yellow"/>
                    </w:rPr>
                    <m:t>,</m:t>
                  </m:r>
                  <m:r>
                    <m:rPr/>
                    <w:rPr>
                      <w:rFonts w:ascii="Cambria Math" w:hAnsi="Cambria Math"/>
                      <w:highlight w:val="yellow"/>
                    </w:rPr>
                    <m:t>b</m:t>
                  </m:r>
                  <m:r>
                    <m:rPr>
                      <m:sty m:val="p"/>
                    </m:rPr>
                    <w:rPr>
                      <w:rFonts w:ascii="Cambria Math" w:hAnsi="Cambria Math"/>
                      <w:highlight w:val="yellow"/>
                    </w:rPr>
                    <m:t>,</m:t>
                  </m:r>
                  <m:r>
                    <m:rPr/>
                    <w:rPr>
                      <w:rFonts w:ascii="Cambria Math" w:hAnsi="Cambria Math"/>
                      <w:highlight w:val="yellow"/>
                    </w:rPr>
                    <m:t>f</m:t>
                  </m:r>
                  <m:r>
                    <m:rPr>
                      <m:sty m:val="p"/>
                    </m:rPr>
                    <w:rPr>
                      <w:rFonts w:ascii="Cambria Math" w:hAnsi="Cambria Math"/>
                      <w:highlight w:val="yellow"/>
                    </w:rPr>
                    <m:t>,</m:t>
                  </m:r>
                  <m:r>
                    <m:rPr/>
                    <w:rPr>
                      <w:rFonts w:ascii="Cambria Math" w:hAnsi="Cambria Math"/>
                      <w:highlight w:val="yellow"/>
                    </w:rPr>
                    <m:t>c</m:t>
                  </m:r>
                  <m:ctrlPr>
                    <w:rPr>
                      <w:rFonts w:ascii="Cambria Math" w:hAnsi="Cambria Math"/>
                      <w:iCs/>
                      <w:highlight w:val="yellow"/>
                    </w:rPr>
                  </m:ctrlPr>
                </m:sub>
              </m:sSub>
              <m:d>
                <m:dPr>
                  <m:ctrlPr>
                    <w:rPr>
                      <w:rFonts w:ascii="Cambria Math" w:hAnsi="Cambria Math"/>
                      <w:highlight w:val="yellow"/>
                    </w:rPr>
                  </m:ctrlPr>
                </m:dPr>
                <m:e>
                  <m:sSub>
                    <m:sSubPr>
                      <m:ctrlPr>
                        <w:rPr>
                          <w:rFonts w:ascii="Cambria Math" w:hAnsi="Cambria Math"/>
                          <w:iCs/>
                          <w:highlight w:val="yellow"/>
                        </w:rPr>
                      </m:ctrlPr>
                    </m:sSubPr>
                    <m:e>
                      <m:r>
                        <m:rPr/>
                        <w:rPr>
                          <w:rFonts w:ascii="Cambria Math" w:hAnsi="Cambria Math"/>
                          <w:highlight w:val="yellow"/>
                        </w:rPr>
                        <m:t>q</m:t>
                      </m:r>
                      <m:ctrlPr>
                        <w:rPr>
                          <w:rFonts w:ascii="Cambria Math" w:hAnsi="Cambria Math"/>
                          <w:iCs/>
                          <w:highlight w:val="yellow"/>
                        </w:rPr>
                      </m:ctrlPr>
                    </m:e>
                    <m:sub>
                      <m:r>
                        <m:rPr/>
                        <w:rPr>
                          <w:rFonts w:ascii="Cambria Math" w:hAnsi="Cambria Math"/>
                          <w:highlight w:val="yellow"/>
                        </w:rPr>
                        <m:t>s</m:t>
                      </m:r>
                      <m:ctrlPr>
                        <w:rPr>
                          <w:rFonts w:ascii="Cambria Math" w:hAnsi="Cambria Math"/>
                          <w:iCs/>
                          <w:highlight w:val="yellow"/>
                        </w:rPr>
                      </m:ctrlPr>
                    </m:sub>
                  </m:sSub>
                  <m:ctrlPr>
                    <w:rPr>
                      <w:rFonts w:ascii="Cambria Math" w:hAnsi="Cambria Math"/>
                      <w:highlight w:val="yellow"/>
                    </w:rPr>
                  </m:ctrlPr>
                </m:e>
              </m:d>
            </m:oMath>
            <w:r>
              <w:rPr>
                <w:highlight w:val="yellow"/>
              </w:rPr>
              <w:t xml:space="preserve">, </w:t>
            </w:r>
            <m:oMath>
              <m:sSub>
                <m:sSubPr>
                  <m:ctrlPr>
                    <w:rPr>
                      <w:rFonts w:ascii="Cambria Math" w:hAnsi="Cambria Math"/>
                      <w:iCs/>
                      <w:highlight w:val="yellow"/>
                    </w:rPr>
                  </m:ctrlPr>
                </m:sSubPr>
                <m:e>
                  <m:r>
                    <m:rPr/>
                    <w:rPr>
                      <w:rFonts w:ascii="Cambria Math" w:hAnsi="Cambria Math"/>
                      <w:highlight w:val="yellow"/>
                    </w:rPr>
                    <m:t>α</m:t>
                  </m:r>
                  <m:ctrlPr>
                    <w:rPr>
                      <w:rFonts w:ascii="Cambria Math" w:hAnsi="Cambria Math"/>
                      <w:iCs/>
                      <w:highlight w:val="yellow"/>
                    </w:rPr>
                  </m:ctrlPr>
                </m:e>
                <m:sub>
                  <m:r>
                    <m:rPr>
                      <m:sty m:val="p"/>
                    </m:rPr>
                    <w:rPr>
                      <w:rFonts w:ascii="Cambria Math" w:hAnsi="Cambria Math"/>
                      <w:highlight w:val="yellow"/>
                    </w:rPr>
                    <m:t>SRS</m:t>
                  </m:r>
                  <m:r>
                    <m:rPr/>
                    <w:rPr>
                      <w:rFonts w:ascii="Cambria Math" w:hAnsi="Cambria Math"/>
                      <w:highlight w:val="yellow"/>
                    </w:rPr>
                    <m:t>,b</m:t>
                  </m:r>
                  <m:r>
                    <m:rPr>
                      <m:sty m:val="p"/>
                    </m:rPr>
                    <w:rPr>
                      <w:rFonts w:ascii="Cambria Math" w:hAnsi="Cambria Math"/>
                      <w:highlight w:val="yellow"/>
                    </w:rPr>
                    <m:t>,</m:t>
                  </m:r>
                  <m:r>
                    <m:rPr/>
                    <w:rPr>
                      <w:rFonts w:ascii="Cambria Math" w:hAnsi="Cambria Math"/>
                      <w:highlight w:val="yellow"/>
                    </w:rPr>
                    <m:t>f</m:t>
                  </m:r>
                  <m:r>
                    <m:rPr>
                      <m:sty m:val="p"/>
                    </m:rPr>
                    <w:rPr>
                      <w:rFonts w:ascii="Cambria Math" w:hAnsi="Cambria Math"/>
                      <w:highlight w:val="yellow"/>
                    </w:rPr>
                    <m:t>,</m:t>
                  </m:r>
                  <m:r>
                    <m:rPr/>
                    <w:rPr>
                      <w:rFonts w:ascii="Cambria Math" w:hAnsi="Cambria Math"/>
                      <w:highlight w:val="yellow"/>
                    </w:rPr>
                    <m:t>c</m:t>
                  </m:r>
                  <m:ctrlPr>
                    <w:rPr>
                      <w:rFonts w:ascii="Cambria Math" w:hAnsi="Cambria Math"/>
                      <w:iCs/>
                      <w:highlight w:val="yellow"/>
                    </w:rPr>
                  </m:ctrlPr>
                </m:sub>
              </m:sSub>
              <m:d>
                <m:dPr>
                  <m:ctrlPr>
                    <w:rPr>
                      <w:rFonts w:ascii="Cambria Math" w:hAnsi="Cambria Math"/>
                      <w:highlight w:val="yellow"/>
                    </w:rPr>
                  </m:ctrlPr>
                </m:dPr>
                <m:e>
                  <m:sSub>
                    <m:sSubPr>
                      <m:ctrlPr>
                        <w:rPr>
                          <w:rFonts w:ascii="Cambria Math" w:hAnsi="Cambria Math"/>
                          <w:iCs/>
                          <w:highlight w:val="yellow"/>
                        </w:rPr>
                      </m:ctrlPr>
                    </m:sSubPr>
                    <m:e>
                      <m:r>
                        <m:rPr/>
                        <w:rPr>
                          <w:rFonts w:ascii="Cambria Math" w:hAnsi="Cambria Math"/>
                          <w:highlight w:val="yellow"/>
                        </w:rPr>
                        <m:t>q</m:t>
                      </m:r>
                      <m:ctrlPr>
                        <w:rPr>
                          <w:rFonts w:ascii="Cambria Math" w:hAnsi="Cambria Math"/>
                          <w:iCs/>
                          <w:highlight w:val="yellow"/>
                        </w:rPr>
                      </m:ctrlPr>
                    </m:e>
                    <m:sub>
                      <m:r>
                        <m:rPr/>
                        <w:rPr>
                          <w:rFonts w:ascii="Cambria Math" w:hAnsi="Cambria Math"/>
                          <w:highlight w:val="yellow"/>
                        </w:rPr>
                        <m:t>s</m:t>
                      </m:r>
                      <m:ctrlPr>
                        <w:rPr>
                          <w:rFonts w:ascii="Cambria Math" w:hAnsi="Cambria Math"/>
                          <w:iCs/>
                          <w:highlight w:val="yellow"/>
                        </w:rPr>
                      </m:ctrlPr>
                    </m:sub>
                  </m:sSub>
                  <m:ctrlPr>
                    <w:rPr>
                      <w:rFonts w:ascii="Cambria Math" w:hAnsi="Cambria Math"/>
                      <w:highlight w:val="yellow"/>
                    </w:rPr>
                  </m:ctrlPr>
                </m:e>
              </m:d>
            </m:oMath>
            <w:r>
              <w:rPr>
                <w:highlight w:val="yellow"/>
              </w:rPr>
              <w:t xml:space="preserve">, and SRS power control adjustment state </w:t>
            </w:r>
            <m:oMath>
              <m:r>
                <m:rPr/>
                <w:rPr>
                  <w:rFonts w:ascii="Cambria Math" w:hAnsi="Cambria Math"/>
                  <w:highlight w:val="yellow"/>
                </w:rPr>
                <m:t>l</m:t>
              </m:r>
            </m:oMath>
            <w:r>
              <w:rPr>
                <w:highlight w:val="yellow"/>
              </w:rPr>
              <w:t xml:space="preserve"> are provided by </w:t>
            </w:r>
            <w:r>
              <w:rPr>
                <w:i/>
                <w:highlight w:val="yellow"/>
              </w:rPr>
              <w:t>p0AlphaSetforSRS</w:t>
            </w:r>
            <w:r>
              <w:rPr>
                <w:highlight w:val="yellow"/>
              </w:rPr>
              <w:t xml:space="preserve"> associated with </w:t>
            </w:r>
            <w:r>
              <w:rPr>
                <w:i/>
                <w:iCs/>
                <w:highlight w:val="yellow"/>
              </w:rPr>
              <w:t>TCI-State</w:t>
            </w:r>
            <w:r>
              <w:rPr>
                <w:highlight w:val="yellow"/>
              </w:rPr>
              <w:t xml:space="preserve"> or </w:t>
            </w:r>
            <w:r>
              <w:rPr>
                <w:i/>
                <w:iCs/>
                <w:highlight w:val="yellow"/>
              </w:rPr>
              <w:t xml:space="preserve">TCI-UL-State </w:t>
            </w:r>
            <w:r>
              <w:rPr>
                <w:highlight w:val="yellow"/>
              </w:rPr>
              <w:t xml:space="preserve">of an SRS resource with lowest </w:t>
            </w:r>
            <w:r>
              <w:rPr>
                <w:i/>
                <w:iCs/>
                <w:highlight w:val="yellow"/>
              </w:rPr>
              <w:t>SRS-ResourceId</w:t>
            </w:r>
            <w:r>
              <w:rPr>
                <w:highlight w:val="yellow"/>
              </w:rPr>
              <w:t xml:space="preserve"> in the SRS resource set and a RS index </w:t>
            </w:r>
            <m:oMath>
              <m:sSub>
                <m:sSubPr>
                  <m:ctrlPr>
                    <w:rPr>
                      <w:rFonts w:ascii="Cambria Math" w:hAnsi="Cambria Math"/>
                      <w:iCs/>
                      <w:highlight w:val="yellow"/>
                    </w:rPr>
                  </m:ctrlPr>
                </m:sSubPr>
                <m:e>
                  <m:r>
                    <m:rPr/>
                    <w:rPr>
                      <w:rFonts w:ascii="Cambria Math" w:hAnsi="Cambria Math"/>
                      <w:highlight w:val="yellow"/>
                    </w:rPr>
                    <m:t>q</m:t>
                  </m:r>
                  <m:ctrlPr>
                    <w:rPr>
                      <w:rFonts w:ascii="Cambria Math" w:hAnsi="Cambria Math"/>
                      <w:iCs/>
                      <w:highlight w:val="yellow"/>
                    </w:rPr>
                  </m:ctrlPr>
                </m:e>
                <m:sub>
                  <m:r>
                    <m:rPr/>
                    <w:rPr>
                      <w:rFonts w:ascii="Cambria Math" w:hAnsi="Cambria Math"/>
                      <w:highlight w:val="yellow"/>
                    </w:rPr>
                    <m:t>d</m:t>
                  </m:r>
                  <m:ctrlPr>
                    <w:rPr>
                      <w:rFonts w:ascii="Cambria Math" w:hAnsi="Cambria Math"/>
                      <w:iCs/>
                      <w:highlight w:val="yellow"/>
                    </w:rPr>
                  </m:ctrlPr>
                </m:sub>
              </m:sSub>
            </m:oMath>
            <w:r>
              <w:rPr>
                <w:iCs/>
                <w:highlight w:val="yellow"/>
              </w:rPr>
              <w:t xml:space="preserve"> </w:t>
            </w:r>
            <w:r>
              <w:rPr>
                <w:highlight w:val="yellow"/>
              </w:rPr>
              <w:t xml:space="preserve">for obtaining a pathloss estimate for the SRS transmission is provided by </w:t>
            </w:r>
            <w:r>
              <w:rPr>
                <w:i/>
                <w:highlight w:val="yellow"/>
              </w:rPr>
              <w:t>pathlossReferenceRS-Id-r17</w:t>
            </w:r>
            <w:r>
              <w:rPr>
                <w:highlight w:val="yellow"/>
              </w:rPr>
              <w:t xml:space="preserve"> associated with or included in the </w:t>
            </w:r>
            <w:r>
              <w:rPr>
                <w:i/>
                <w:iCs/>
                <w:highlight w:val="yellow"/>
              </w:rPr>
              <w:t>TCI-State</w:t>
            </w:r>
            <w:r>
              <w:rPr>
                <w:highlight w:val="yellow"/>
              </w:rPr>
              <w:t xml:space="preserve"> or </w:t>
            </w:r>
            <w:r>
              <w:rPr>
                <w:i/>
                <w:iCs/>
                <w:highlight w:val="yellow"/>
              </w:rPr>
              <w:t>TCI-UL-State</w:t>
            </w:r>
            <w:r>
              <w:rPr>
                <w:highlight w:val="yellow"/>
              </w:rPr>
              <w:t xml:space="preserve"> of an SRS resource with lowest </w:t>
            </w:r>
            <w:r>
              <w:rPr>
                <w:i/>
                <w:iCs/>
                <w:highlight w:val="yellow"/>
              </w:rPr>
              <w:t>SRS-ResourceId</w:t>
            </w:r>
            <w:r>
              <w:rPr>
                <w:highlight w:val="yellow"/>
              </w:rPr>
              <w:t xml:space="preserve"> in the SRS resource set</w:t>
            </w:r>
          </w:p>
          <w:p>
            <w:pPr>
              <w:pStyle w:val="58"/>
              <w:adjustRightInd w:val="0"/>
              <w:spacing w:before="108" w:after="180"/>
              <w:ind w:left="567"/>
              <w:rPr>
                <w:lang w:eastAsia="ko-KR"/>
              </w:rPr>
            </w:pP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hAnsi="Cambria Math"/>
                      <w:iCs/>
                    </w:rPr>
                    <m:t>O_SRS</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hAnsi="Cambria Math"/>
                        </w:rPr>
                        <m:t>s</m:t>
                      </m:r>
                      <m:ctrlPr>
                        <w:rPr>
                          <w:rFonts w:ascii="Cambria Math" w:hAnsi="Cambria Math"/>
                          <w:iCs/>
                        </w:rPr>
                      </m:ctrlPr>
                    </m:sub>
                  </m:sSub>
                  <m:ctrlPr>
                    <w:rPr>
                      <w:rFonts w:ascii="Cambria Math" w:hAnsi="Cambria Math"/>
                    </w:rPr>
                  </m:ctrlPr>
                </m:e>
              </m:d>
            </m:oMath>
            <w:r>
              <w:t xml:space="preserve"> is the sum of the component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hAnsi="Cambria Math"/>
                      <w:iCs/>
                    </w:rPr>
                    <m:t>O_UE_SRS</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hAnsi="Cambria Math"/>
                        </w:rPr>
                        <m:t>s</m:t>
                      </m:r>
                      <m:ctrlPr>
                        <w:rPr>
                          <w:rFonts w:ascii="Cambria Math" w:hAnsi="Cambria Math"/>
                          <w:iCs/>
                        </w:rPr>
                      </m:ctrlPr>
                    </m:sub>
                  </m:sSub>
                  <m:ctrlPr>
                    <w:rPr>
                      <w:rFonts w:ascii="Cambria Math" w:hAnsi="Cambria Math"/>
                    </w:rPr>
                  </m:ctrlPr>
                </m:e>
              </m:d>
            </m:oMath>
            <w:r>
              <w:rPr>
                <w:iCs/>
              </w:rPr>
              <w:t xml:space="preserve"> and </w:t>
            </w:r>
            <w:r>
              <w:t xml:space="preserve">a component </w:t>
            </w:r>
            <w:r>
              <w:rPr>
                <w:rFonts w:eastAsia="MS Mincho"/>
                <w:i/>
              </w:rPr>
              <w:t>p0</w:t>
            </w:r>
            <w:r>
              <w:rPr>
                <w:rFonts w:eastAsia="MS Mincho"/>
              </w:rPr>
              <w:t xml:space="preserve"> </w:t>
            </w:r>
            <w:r>
              <w:t xml:space="preserve">provided by </w:t>
            </w:r>
            <w:r>
              <w:rPr>
                <w:i/>
              </w:rPr>
              <w:t>SRS-ResourceSet</w:t>
            </w:r>
            <w:r>
              <w:t xml:space="preserve"> corresponding to the SRS resource set.</w:t>
            </w:r>
          </w:p>
          <w:p>
            <w:pPr>
              <w:adjustRightInd w:val="0"/>
              <w:spacing w:beforeAutospacing="0" w:after="180" w:afterLines="0"/>
              <w:jc w:val="center"/>
              <w:rPr>
                <w:rFonts w:eastAsia="宋体"/>
              </w:rPr>
            </w:pPr>
            <w:r>
              <w:rPr>
                <w:rFonts w:eastAsia="宋体"/>
                <w:color w:val="FF0000"/>
              </w:rPr>
              <w:t>&lt;</w:t>
            </w:r>
            <w:r>
              <w:rPr>
                <w:rFonts w:hint="eastAsia" w:eastAsia="宋体"/>
                <w:color w:val="FF0000"/>
              </w:rPr>
              <w:t xml:space="preserve">Unrelated </w:t>
            </w:r>
            <w:r>
              <w:rPr>
                <w:rFonts w:eastAsia="宋体"/>
                <w:color w:val="FF0000"/>
              </w:rPr>
              <w:t>parts are omitted&gt;</w:t>
            </w:r>
          </w:p>
        </w:tc>
      </w:tr>
      <w:bookmarkEnd w:id="1"/>
    </w:tbl>
    <w:p>
      <w:pPr>
        <w:adjustRightInd w:val="0"/>
        <w:spacing w:before="180" w:beforeLines="50" w:beforeAutospacing="0" w:after="180"/>
        <w:jc w:val="both"/>
        <w:rPr>
          <w:rFonts w:eastAsia="宋体"/>
          <w:szCs w:val="20"/>
        </w:rPr>
      </w:pPr>
      <w:r>
        <w:rPr>
          <w:rFonts w:eastAsia="Batang"/>
          <w:szCs w:val="20"/>
          <w:lang w:val="en-GB" w:eastAsia="en-US"/>
        </w:rPr>
        <w:t xml:space="preserve">Besides, it should be noticed that the effectiveness of TCI states that used for SRS transmission will be negatively impacted if going with Alt2. As illustrated in Figure 3, </w:t>
      </w:r>
      <w:r>
        <w:rPr>
          <w:rFonts w:eastAsia="宋体"/>
          <w:szCs w:val="20"/>
        </w:rPr>
        <w:t xml:space="preserve">the dominant use case is that one separate closed loop i0 is used for SRS transmission to UL TRP for beam management and another separate closed loop i1 is used for SRS transmission to Anchor TRP for DL CSI acquisition. Subsequently, the best beam (i.e., the TCI state with i1 in green of SRS towards UL TRP and the TCI state with i0 in blue of SRS towards Anchor TRP) cannot be indicated due to the limitation of Alt2 that SRS CLPC adjustment states i0 and i1 are configured by </w:t>
      </w:r>
      <w:r>
        <w:rPr>
          <w:rFonts w:eastAsia="等线"/>
          <w:i/>
          <w:szCs w:val="20"/>
          <w:lang w:val="en-GB" w:eastAsia="en-US"/>
        </w:rPr>
        <w:t>closedLoopIndex-r17</w:t>
      </w:r>
      <w:r>
        <w:rPr>
          <w:rFonts w:eastAsia="等线"/>
          <w:szCs w:val="20"/>
          <w:lang w:val="en-GB" w:eastAsia="en-US"/>
        </w:rPr>
        <w:t xml:space="preserve"> for SRS in the TCI state. The root of this issue lies in </w:t>
      </w:r>
      <w:r>
        <w:rPr>
          <w:rFonts w:eastAsia="宋体"/>
          <w:szCs w:val="20"/>
        </w:rPr>
        <w:t>SRS CLPC adjustment states i0 or i1 always depends on the TCI state used for SRS transmission.</w:t>
      </w:r>
    </w:p>
    <w:p>
      <w:pPr>
        <w:adjustRightInd w:val="0"/>
        <w:spacing w:after="180"/>
        <w:jc w:val="center"/>
        <w:rPr>
          <w:rFonts w:eastAsia="宋体"/>
          <w:sz w:val="22"/>
          <w:szCs w:val="22"/>
        </w:rPr>
      </w:pPr>
      <w:r>
        <w:rPr>
          <w:rFonts w:eastAsia="宋体"/>
          <w:sz w:val="22"/>
          <w:szCs w:val="22"/>
        </w:rPr>
        <w:drawing>
          <wp:inline distT="0" distB="0" distL="114300" distR="114300">
            <wp:extent cx="4297045" cy="1703070"/>
            <wp:effectExtent l="0" t="0" r="0" b="0"/>
            <wp:docPr id="3" name="图片 3" descr="UL TRP_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L TRP_fig4"/>
                    <pic:cNvPicPr>
                      <a:picLocks noChangeAspect="1"/>
                    </pic:cNvPicPr>
                  </pic:nvPicPr>
                  <pic:blipFill>
                    <a:blip r:embed="rId14"/>
                    <a:stretch>
                      <a:fillRect/>
                    </a:stretch>
                  </pic:blipFill>
                  <pic:spPr>
                    <a:xfrm>
                      <a:off x="0" y="0"/>
                      <a:ext cx="4297045" cy="1703070"/>
                    </a:xfrm>
                    <a:prstGeom prst="rect">
                      <a:avLst/>
                    </a:prstGeom>
                  </pic:spPr>
                </pic:pic>
              </a:graphicData>
            </a:graphic>
          </wp:inline>
        </w:drawing>
      </w:r>
    </w:p>
    <w:p>
      <w:pPr>
        <w:adjustRightInd w:val="0"/>
        <w:spacing w:after="180"/>
        <w:jc w:val="center"/>
        <w:rPr>
          <w:rFonts w:eastAsia="宋体"/>
          <w:szCs w:val="20"/>
          <w:lang w:val="en-GB"/>
        </w:rPr>
      </w:pPr>
      <w:r>
        <w:rPr>
          <w:rFonts w:eastAsia="宋体"/>
          <w:b/>
          <w:bCs/>
          <w:szCs w:val="20"/>
        </w:rPr>
        <w:t>Figure 3</w:t>
      </w:r>
      <w:r>
        <w:rPr>
          <w:rFonts w:eastAsia="宋体"/>
          <w:szCs w:val="20"/>
        </w:rPr>
        <w:tab/>
      </w:r>
      <w:r>
        <w:rPr>
          <w:rFonts w:eastAsia="宋体"/>
          <w:szCs w:val="20"/>
        </w:rPr>
        <w:t xml:space="preserve">Potential issue of TCI states for SRS transmission when </w:t>
      </w:r>
      <w:r>
        <w:rPr>
          <w:rFonts w:eastAsia="等线"/>
          <w:i/>
          <w:szCs w:val="20"/>
          <w:lang w:val="en-GB" w:eastAsia="en-US"/>
        </w:rPr>
        <w:t>closedLoopIndex-r17</w:t>
      </w:r>
      <w:r>
        <w:rPr>
          <w:rFonts w:eastAsia="等线"/>
          <w:szCs w:val="20"/>
          <w:lang w:val="en-GB" w:eastAsia="en-US"/>
        </w:rPr>
        <w:t xml:space="preserve"> for SRS in the TCI state is used to indicate one of the SRS CLPC adjustment states</w:t>
      </w:r>
    </w:p>
    <w:p>
      <w:pPr>
        <w:adjustRightInd w:val="0"/>
        <w:spacing w:before="180" w:beforeLines="50" w:beforeAutospacing="0" w:after="180"/>
        <w:jc w:val="both"/>
        <w:rPr>
          <w:rFonts w:eastAsia="宋体"/>
          <w:szCs w:val="20"/>
        </w:rPr>
      </w:pPr>
      <w:r>
        <w:rPr>
          <w:rFonts w:eastAsia="等线"/>
          <w:szCs w:val="20"/>
          <w:lang w:val="en-GB" w:eastAsia="en-US"/>
        </w:rPr>
        <w:t xml:space="preserve">By comparison, Alt1 reached in RAN1#116 meeting that one out of two separate SRS CLPC adjustment states can be configured in SRS resource set should be adopted as the extra rule to address this issue, where the separate SRS CLPC adjustment state i0 or i1 can be decoupled with the </w:t>
      </w:r>
      <w:r>
        <w:rPr>
          <w:rFonts w:eastAsia="宋体"/>
          <w:szCs w:val="20"/>
        </w:rPr>
        <w:t xml:space="preserve">TCI state used for SRS transmission. In addition, note that Alt1 and Alt2 do not need to coexist from the perspective of signaling, </w:t>
      </w:r>
      <w:r>
        <w:rPr>
          <w:rFonts w:eastAsia="等线"/>
          <w:i/>
          <w:szCs w:val="20"/>
          <w:lang w:val="en-GB" w:eastAsia="en-US"/>
        </w:rPr>
        <w:t>closedLoopIndex-r17</w:t>
      </w:r>
      <w:r>
        <w:rPr>
          <w:rFonts w:eastAsia="等线"/>
          <w:szCs w:val="20"/>
          <w:lang w:val="en-GB" w:eastAsia="en-US"/>
        </w:rPr>
        <w:t xml:space="preserve"> for SRS in the TCI state </w:t>
      </w:r>
      <w:r>
        <w:rPr>
          <w:rFonts w:eastAsia="等线"/>
          <w:szCs w:val="20"/>
          <w:lang w:eastAsia="en-US"/>
        </w:rPr>
        <w:t>is not to</w:t>
      </w:r>
      <w:r>
        <w:rPr>
          <w:rFonts w:eastAsia="等线"/>
          <w:szCs w:val="20"/>
          <w:lang w:val="en-GB" w:eastAsia="en-US"/>
        </w:rPr>
        <w:t xml:space="preserve"> be used to indicate the SRS CLPC adjustment state in this way.</w:t>
      </w:r>
    </w:p>
    <w:p>
      <w:pPr>
        <w:adjustRightInd w:val="0"/>
        <w:spacing w:before="180" w:beforeLines="50" w:beforeAutospacing="0" w:after="0" w:afterLines="0"/>
        <w:jc w:val="both"/>
        <w:rPr>
          <w:rFonts w:eastAsia="宋体"/>
          <w:i/>
          <w:iCs/>
          <w:szCs w:val="20"/>
        </w:rPr>
      </w:pPr>
      <w:r>
        <w:rPr>
          <w:rFonts w:eastAsia="宋体"/>
          <w:b/>
          <w:bCs/>
          <w:i/>
          <w:iCs/>
          <w:szCs w:val="20"/>
        </w:rPr>
        <w:t>Proposal 5:</w:t>
      </w:r>
      <w:r>
        <w:rPr>
          <w:rFonts w:eastAsia="宋体"/>
          <w:i/>
          <w:iCs/>
          <w:szCs w:val="20"/>
        </w:rPr>
        <w:t xml:space="preserve"> Support that one out of two separate CLPC adjustment states for SRS can be configured to one SRS resource set (Alt1).</w:t>
      </w:r>
    </w:p>
    <w:p>
      <w:pPr>
        <w:pStyle w:val="52"/>
        <w:numPr>
          <w:ilvl w:val="0"/>
          <w:numId w:val="10"/>
        </w:numPr>
        <w:spacing w:before="0" w:beforeLines="0" w:after="0" w:afterLines="0" w:line="240" w:lineRule="auto"/>
        <w:ind w:leftChars="0"/>
        <w:rPr>
          <w:rFonts w:ascii="Times New Roman" w:hAnsi="Times New Roman" w:eastAsia="宋体"/>
          <w:szCs w:val="20"/>
        </w:rPr>
      </w:pPr>
      <w:r>
        <w:rPr>
          <w:rFonts w:ascii="Times New Roman" w:hAnsi="Times New Roman" w:eastAsia="宋体"/>
          <w:i/>
          <w:iCs/>
          <w:szCs w:val="20"/>
        </w:rPr>
        <w:t xml:space="preserve">In this way, </w:t>
      </w:r>
      <w:r>
        <w:rPr>
          <w:rFonts w:ascii="Times New Roman" w:hAnsi="Times New Roman" w:eastAsia="等线"/>
          <w:i/>
          <w:szCs w:val="20"/>
          <w:lang w:eastAsia="en-US"/>
        </w:rPr>
        <w:t>closedLoopIndex-r17 for SRS in the TCI state is not to be used to indicate the SRS CLPC adjustment state</w:t>
      </w:r>
      <w:r>
        <w:rPr>
          <w:rFonts w:ascii="Times New Roman" w:hAnsi="Times New Roman" w:eastAsia="宋体"/>
          <w:i/>
          <w:szCs w:val="20"/>
        </w:rPr>
        <w:t>.</w:t>
      </w:r>
    </w:p>
    <w:p>
      <w:pPr>
        <w:pStyle w:val="2"/>
        <w:keepNext/>
        <w:tabs>
          <w:tab w:val="left" w:pos="3686"/>
          <w:tab w:val="left" w:pos="4536"/>
        </w:tabs>
        <w:spacing w:before="360" w:beforeLines="100" w:after="180" w:line="240" w:lineRule="auto"/>
        <w:textAlignment w:val="baseline"/>
        <w:rPr>
          <w:lang w:val="en-US"/>
        </w:rPr>
      </w:pPr>
      <w:r>
        <w:rPr>
          <w:lang w:val="en-US"/>
        </w:rPr>
        <w:t>Two TAs</w:t>
      </w:r>
    </w:p>
    <w:p>
      <w:pPr>
        <w:adjustRightInd w:val="0"/>
        <w:spacing w:before="180" w:beforeLines="50" w:beforeAutospacing="0" w:after="180"/>
        <w:jc w:val="both"/>
        <w:rPr>
          <w:rFonts w:eastAsia="宋体"/>
          <w:szCs w:val="20"/>
        </w:rPr>
      </w:pPr>
      <w:r>
        <w:rPr>
          <w:rFonts w:eastAsia="宋体"/>
          <w:szCs w:val="20"/>
        </w:rPr>
        <w:t xml:space="preserve">In RAN1#118bis meeting, the following agreement </w:t>
      </w:r>
      <w:r>
        <w:rPr>
          <w:rFonts w:hint="eastAsia" w:eastAsia="宋体"/>
          <w:szCs w:val="20"/>
        </w:rPr>
        <w:t xml:space="preserve">was </w:t>
      </w:r>
      <w:r>
        <w:rPr>
          <w:rFonts w:eastAsia="宋体"/>
          <w:szCs w:val="20"/>
        </w:rPr>
        <w:t>reached for the issue of supporting two TAGs [2].</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adjustRightInd w:val="0"/>
              <w:spacing w:beforeAutospacing="0" w:after="0" w:afterLines="0"/>
              <w:rPr>
                <w:rFonts w:eastAsia="Batang"/>
                <w:b/>
                <w:bCs/>
                <w:u w:val="single"/>
                <w:lang w:val="en-GB"/>
              </w:rPr>
            </w:pPr>
            <w:r>
              <w:rPr>
                <w:rFonts w:eastAsia="Batang"/>
                <w:b/>
                <w:bCs/>
                <w:u w:val="single"/>
                <w:lang w:val="en-GB"/>
              </w:rPr>
              <w:t>Agreement</w:t>
            </w:r>
          </w:p>
          <w:p>
            <w:pPr>
              <w:adjustRightInd w:val="0"/>
              <w:spacing w:beforeAutospacing="0" w:after="0" w:afterLines="0"/>
              <w:rPr>
                <w:rFonts w:eastAsia="等线"/>
                <w:szCs w:val="20"/>
                <w:lang w:val="en-GB" w:eastAsia="en-US"/>
              </w:rPr>
            </w:pPr>
            <w:r>
              <w:rPr>
                <w:rFonts w:eastAsia="Batang"/>
                <w:szCs w:val="20"/>
                <w:lang w:val="en-GB"/>
              </w:rPr>
              <w:t xml:space="preserve">Support 2TA for the </w:t>
            </w:r>
            <w:r>
              <w:rPr>
                <w:rFonts w:eastAsia="等线"/>
                <w:szCs w:val="20"/>
                <w:lang w:val="en-GB" w:eastAsia="en-US"/>
              </w:rPr>
              <w:t>asymmetric DL sTRP/UL mTRP deployment scenarios:</w:t>
            </w:r>
          </w:p>
          <w:p>
            <w:pPr>
              <w:numPr>
                <w:ilvl w:val="0"/>
                <w:numId w:val="15"/>
              </w:numPr>
              <w:adjustRightInd w:val="0"/>
              <w:spacing w:beforeAutospacing="0" w:after="0" w:afterLines="0"/>
              <w:jc w:val="both"/>
              <w:rPr>
                <w:rFonts w:eastAsia="等线"/>
                <w:szCs w:val="20"/>
                <w:lang w:val="en-GB"/>
              </w:rPr>
            </w:pPr>
            <w:r>
              <w:rPr>
                <w:rFonts w:eastAsia="等线"/>
                <w:szCs w:val="20"/>
                <w:lang w:val="en-GB" w:eastAsia="en-US"/>
              </w:rPr>
              <w:t xml:space="preserve">Remove the restriction that </w:t>
            </w:r>
            <w:r>
              <w:rPr>
                <w:rFonts w:eastAsia="等线"/>
                <w:i/>
                <w:iCs/>
                <w:szCs w:val="20"/>
                <w:lang w:val="en-GB" w:eastAsia="en-US"/>
              </w:rPr>
              <w:t>coresetPoolIndex</w:t>
            </w:r>
            <w:r>
              <w:rPr>
                <w:rFonts w:eastAsia="等线"/>
                <w:szCs w:val="20"/>
                <w:lang w:val="en-GB" w:eastAsia="en-US"/>
              </w:rPr>
              <w:t xml:space="preserve"> needs to be configured</w:t>
            </w:r>
            <w:r>
              <w:rPr>
                <w:rFonts w:eastAsia="等线"/>
                <w:szCs w:val="20"/>
                <w:lang w:val="en-GB"/>
              </w:rPr>
              <w:t xml:space="preserve"> </w:t>
            </w:r>
            <w:r>
              <w:rPr>
                <w:rFonts w:eastAsia="等线"/>
                <w:szCs w:val="20"/>
              </w:rPr>
              <w:t>for the 2TA feature</w:t>
            </w:r>
            <w:r>
              <w:rPr>
                <w:rFonts w:eastAsia="等线"/>
                <w:szCs w:val="20"/>
                <w:lang w:val="en-GB" w:eastAsia="en-US"/>
              </w:rPr>
              <w:t>.</w:t>
            </w:r>
          </w:p>
          <w:p>
            <w:pPr>
              <w:numPr>
                <w:ilvl w:val="0"/>
                <w:numId w:val="15"/>
              </w:numPr>
              <w:adjustRightInd w:val="0"/>
              <w:spacing w:beforeAutospacing="0" w:after="0" w:afterLines="0"/>
              <w:jc w:val="both"/>
              <w:rPr>
                <w:rFonts w:eastAsia="等线"/>
                <w:szCs w:val="20"/>
                <w:lang w:val="en-CA" w:eastAsia="en-US"/>
              </w:rPr>
            </w:pPr>
            <w:r>
              <w:rPr>
                <w:rFonts w:eastAsia="等线"/>
                <w:szCs w:val="20"/>
                <w:lang w:val="en-CA" w:eastAsia="en-US"/>
              </w:rPr>
              <w:t>One downlink reference timing is supported and applied to both TAGs.</w:t>
            </w:r>
          </w:p>
          <w:p>
            <w:pPr>
              <w:numPr>
                <w:ilvl w:val="1"/>
                <w:numId w:val="15"/>
              </w:numPr>
              <w:adjustRightInd w:val="0"/>
              <w:spacing w:beforeAutospacing="0" w:after="0" w:afterLines="0"/>
              <w:jc w:val="both"/>
              <w:rPr>
                <w:rFonts w:eastAsia="等线"/>
                <w:szCs w:val="20"/>
                <w:lang w:val="en-CA" w:eastAsia="en-US"/>
              </w:rPr>
            </w:pPr>
            <w:r>
              <w:rPr>
                <w:rFonts w:eastAsia="Malgun Gothic"/>
                <w:szCs w:val="20"/>
                <w:lang w:val="en-GB" w:eastAsia="en-US"/>
              </w:rPr>
              <w:t>(FFS) Note: UE autonomous TA adjustment is only applicable to the first TAG</w:t>
            </w:r>
          </w:p>
          <w:p>
            <w:pPr>
              <w:numPr>
                <w:ilvl w:val="0"/>
                <w:numId w:val="15"/>
              </w:numPr>
              <w:adjustRightInd w:val="0"/>
              <w:spacing w:beforeAutospacing="0" w:after="0" w:afterLines="0"/>
              <w:jc w:val="both"/>
              <w:rPr>
                <w:rFonts w:eastAsia="等线"/>
                <w:szCs w:val="20"/>
                <w:lang w:val="en-CA" w:eastAsia="en-US"/>
              </w:rPr>
            </w:pPr>
            <w:r>
              <w:rPr>
                <w:rFonts w:eastAsia="等线"/>
                <w:szCs w:val="20"/>
                <w:lang w:val="en-CA" w:eastAsia="en-US"/>
              </w:rPr>
              <w:t xml:space="preserve">One single </w:t>
            </w:r>
            <w:r>
              <w:rPr>
                <w:rFonts w:eastAsia="等线"/>
                <w:i/>
                <w:iCs/>
                <w:szCs w:val="20"/>
                <w:lang w:val="en-CA" w:eastAsia="en-US"/>
              </w:rPr>
              <w:t>n-TimingAdvanceoffset</w:t>
            </w:r>
            <w:r>
              <w:rPr>
                <w:rFonts w:eastAsia="等线"/>
                <w:szCs w:val="20"/>
                <w:lang w:val="en-CA" w:eastAsia="en-US"/>
              </w:rPr>
              <w:t xml:space="preserve"> is configured and applied to both TAGs.</w:t>
            </w:r>
          </w:p>
          <w:p>
            <w:pPr>
              <w:numPr>
                <w:ilvl w:val="0"/>
                <w:numId w:val="15"/>
              </w:numPr>
              <w:adjustRightInd w:val="0"/>
              <w:spacing w:beforeAutospacing="0" w:after="0" w:afterLines="0"/>
              <w:jc w:val="both"/>
              <w:rPr>
                <w:rFonts w:eastAsia="等线"/>
                <w:szCs w:val="20"/>
                <w:lang w:val="en-GB" w:eastAsia="en-US"/>
              </w:rPr>
            </w:pPr>
            <w:r>
              <w:rPr>
                <w:rFonts w:eastAsia="等线"/>
                <w:szCs w:val="20"/>
                <w:lang w:val="en-CA"/>
              </w:rPr>
              <w:t>Any of the TCI states can be associated with any one of the two TAGs.</w:t>
            </w:r>
          </w:p>
          <w:p>
            <w:pPr>
              <w:numPr>
                <w:ilvl w:val="0"/>
                <w:numId w:val="15"/>
              </w:numPr>
              <w:adjustRightInd w:val="0"/>
              <w:spacing w:beforeAutospacing="0" w:after="0" w:afterLines="0"/>
              <w:jc w:val="both"/>
              <w:rPr>
                <w:rFonts w:eastAsia="等线"/>
                <w:szCs w:val="20"/>
                <w:lang w:val="en-GB" w:eastAsia="en-US"/>
              </w:rPr>
            </w:pPr>
            <w:r>
              <w:rPr>
                <w:rFonts w:eastAsia="等线"/>
                <w:szCs w:val="20"/>
                <w:lang w:val="en-GB" w:eastAsia="en-US"/>
              </w:rPr>
              <w:t xml:space="preserve">The RAR carrying TA adjustment for those 2 TAGs is reused for Rel-19 2TA </w:t>
            </w:r>
          </w:p>
          <w:p>
            <w:pPr>
              <w:numPr>
                <w:ilvl w:val="0"/>
                <w:numId w:val="15"/>
              </w:numPr>
              <w:adjustRightInd w:val="0"/>
              <w:spacing w:beforeAutospacing="0" w:after="0" w:afterLines="0"/>
              <w:jc w:val="both"/>
              <w:rPr>
                <w:rFonts w:eastAsia="等线"/>
                <w:szCs w:val="20"/>
                <w:lang w:val="en-GB" w:eastAsia="en-US"/>
              </w:rPr>
            </w:pPr>
            <w:r>
              <w:rPr>
                <w:rFonts w:eastAsia="等线"/>
                <w:szCs w:val="20"/>
                <w:lang w:val="en-GB" w:eastAsia="en-US"/>
              </w:rPr>
              <w:t>The MAC CE based TA adjustment for 2 TAGs is reused for Rel-19 2TA.</w:t>
            </w:r>
          </w:p>
          <w:p>
            <w:pPr>
              <w:numPr>
                <w:ilvl w:val="0"/>
                <w:numId w:val="15"/>
              </w:numPr>
              <w:adjustRightInd w:val="0"/>
              <w:spacing w:beforeAutospacing="0" w:after="0" w:afterLines="0"/>
              <w:jc w:val="both"/>
              <w:rPr>
                <w:rFonts w:eastAsia="等线"/>
                <w:szCs w:val="20"/>
                <w:lang w:val="en-GB" w:eastAsia="en-US"/>
              </w:rPr>
            </w:pPr>
            <w:r>
              <w:rPr>
                <w:rFonts w:eastAsia="等线"/>
                <w:szCs w:val="20"/>
                <w:lang w:val="en-GB" w:eastAsia="en-US"/>
              </w:rPr>
              <w:t xml:space="preserve">Introduce the </w:t>
            </w:r>
            <w:r>
              <w:rPr>
                <w:rFonts w:eastAsia="等线"/>
                <w:szCs w:val="20"/>
                <w:lang w:eastAsia="en-US"/>
              </w:rPr>
              <w:t xml:space="preserve">optional </w:t>
            </w:r>
            <w:r>
              <w:rPr>
                <w:rFonts w:eastAsia="等线"/>
                <w:szCs w:val="20"/>
                <w:lang w:val="en-GB" w:eastAsia="en-US"/>
              </w:rPr>
              <w:t>UE capability of “Overlapping UL transmission reduction” for Rel-19 2TA</w:t>
            </w:r>
          </w:p>
          <w:p>
            <w:pPr>
              <w:numPr>
                <w:ilvl w:val="1"/>
                <w:numId w:val="15"/>
              </w:numPr>
              <w:adjustRightInd w:val="0"/>
              <w:spacing w:beforeAutospacing="0" w:after="0" w:afterLines="0"/>
              <w:jc w:val="both"/>
              <w:rPr>
                <w:rFonts w:eastAsia="Malgun Gothic"/>
                <w:szCs w:val="20"/>
                <w:lang w:val="en-GB"/>
              </w:rPr>
            </w:pPr>
            <w:r>
              <w:rPr>
                <w:rFonts w:eastAsia="等线"/>
                <w:szCs w:val="20"/>
                <w:lang w:val="en-GB" w:eastAsia="en-US"/>
              </w:rPr>
              <w:t>If UE does not report this UE capability, UE does not expect two UL transmissions associated with different TAGs are overlapped.</w:t>
            </w:r>
          </w:p>
          <w:p>
            <w:pPr>
              <w:numPr>
                <w:ilvl w:val="0"/>
                <w:numId w:val="15"/>
              </w:numPr>
              <w:adjustRightInd w:val="0"/>
              <w:spacing w:beforeAutospacing="0" w:after="0" w:afterLines="0"/>
              <w:jc w:val="both"/>
              <w:rPr>
                <w:rFonts w:eastAsia="Malgun Gothic"/>
                <w:szCs w:val="20"/>
                <w:lang w:val="en-GB"/>
              </w:rPr>
            </w:pPr>
            <w:r>
              <w:rPr>
                <w:rFonts w:eastAsia="Malgun Gothic"/>
                <w:szCs w:val="20"/>
                <w:lang w:val="en-GB"/>
              </w:rPr>
              <w:t xml:space="preserve">FFS: UE does not expect that in intra-slot TDM PUSCH type-B repetition transmission, </w:t>
            </w:r>
            <w:r>
              <w:rPr>
                <w:rFonts w:eastAsia="等线"/>
                <w:szCs w:val="20"/>
                <w:lang w:val="en-GB" w:eastAsia="en-US"/>
              </w:rPr>
              <w:t>two consecutive repetitions associated with different TAGs are overlapped.</w:t>
            </w:r>
          </w:p>
        </w:tc>
      </w:tr>
    </w:tbl>
    <w:p>
      <w:pPr>
        <w:adjustRightInd w:val="0"/>
        <w:spacing w:before="180" w:beforeLines="50" w:beforeAutospacing="0" w:after="180"/>
        <w:jc w:val="both"/>
        <w:rPr>
          <w:rFonts w:eastAsia="宋体"/>
          <w:szCs w:val="20"/>
        </w:rPr>
      </w:pPr>
      <w:r>
        <w:rPr>
          <w:rFonts w:hint="eastAsia" w:eastAsia="宋体"/>
          <w:szCs w:val="20"/>
        </w:rPr>
        <w:t xml:space="preserve">For UE capability of </w:t>
      </w:r>
      <w:r>
        <w:rPr>
          <w:rFonts w:eastAsia="宋体"/>
          <w:szCs w:val="20"/>
        </w:rPr>
        <w:t>“</w:t>
      </w:r>
      <w:r>
        <w:rPr>
          <w:rFonts w:hint="eastAsia" w:eastAsia="宋体"/>
          <w:szCs w:val="20"/>
        </w:rPr>
        <w:t>Overlapping UL transmission reduction</w:t>
      </w:r>
      <w:r>
        <w:rPr>
          <w:rFonts w:eastAsia="宋体"/>
          <w:szCs w:val="20"/>
        </w:rPr>
        <w:t>”</w:t>
      </w:r>
      <w:r>
        <w:rPr>
          <w:rFonts w:hint="eastAsia" w:eastAsia="宋体"/>
          <w:szCs w:val="20"/>
        </w:rPr>
        <w:t xml:space="preserve"> for Rel-19 two TAs, it is still unclear that the overlapping duration of which one (e.g., former one or latter one) of two UL transmissions association with two TAGs should be reduced. Consequently, the rule of Rel-18 two TAs case as specified in TS 38.213 can be referred, that is, </w:t>
      </w:r>
      <w:r>
        <w:rPr>
          <w:rStyle w:val="32"/>
          <w:rFonts w:cs="Times"/>
          <w:i w:val="0"/>
          <w:szCs w:val="20"/>
        </w:rPr>
        <w:t>the overlapping duration of the lat</w:t>
      </w:r>
      <w:r>
        <w:rPr>
          <w:rStyle w:val="32"/>
          <w:rFonts w:hint="eastAsia" w:eastAsia="宋体" w:cs="Times"/>
          <w:i w:val="0"/>
          <w:szCs w:val="20"/>
        </w:rPr>
        <w:t>t</w:t>
      </w:r>
      <w:r>
        <w:rPr>
          <w:rStyle w:val="32"/>
          <w:rFonts w:cs="Times"/>
          <w:i w:val="0"/>
          <w:szCs w:val="20"/>
        </w:rPr>
        <w:t>er</w:t>
      </w:r>
      <w:r>
        <w:rPr>
          <w:rStyle w:val="32"/>
          <w:rFonts w:hint="eastAsia" w:eastAsia="宋体" w:cs="Times"/>
          <w:i w:val="0"/>
          <w:szCs w:val="20"/>
        </w:rPr>
        <w:t xml:space="preserve"> one of two UL</w:t>
      </w:r>
      <w:r>
        <w:rPr>
          <w:rStyle w:val="32"/>
          <w:rFonts w:cs="Times"/>
          <w:i w:val="0"/>
          <w:szCs w:val="20"/>
        </w:rPr>
        <w:t xml:space="preserve"> transmissions is reduced</w:t>
      </w:r>
      <w:r>
        <w:rPr>
          <w:rStyle w:val="32"/>
          <w:rFonts w:hint="eastAsia" w:eastAsia="宋体" w:cs="Times"/>
          <w:i w:val="0"/>
          <w:szCs w:val="20"/>
        </w:rPr>
        <w:t>.</w:t>
      </w:r>
    </w:p>
    <w:p>
      <w:pPr>
        <w:pStyle w:val="52"/>
        <w:numPr>
          <w:ilvl w:val="0"/>
          <w:numId w:val="13"/>
        </w:numPr>
        <w:spacing w:before="180" w:beforeLines="50" w:after="0" w:afterLines="0"/>
        <w:ind w:leftChars="0"/>
        <w:rPr>
          <w:rFonts w:ascii="Times New Roman" w:hAnsi="Times New Roman" w:eastAsia="宋体"/>
          <w:b/>
          <w:szCs w:val="20"/>
        </w:rPr>
      </w:pPr>
      <w:r>
        <w:rPr>
          <w:rFonts w:ascii="Times New Roman" w:hAnsi="Times New Roman" w:eastAsia="宋体"/>
          <w:b/>
          <w:szCs w:val="20"/>
        </w:rPr>
        <w:t>TS 38.213</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adjustRightInd w:val="0"/>
              <w:spacing w:beforeAutospacing="0" w:after="180" w:afterLines="0"/>
              <w:rPr>
                <w:rFonts w:ascii="Arial" w:hAnsi="Arial" w:eastAsia="宋体" w:cs="Arial"/>
                <w:sz w:val="32"/>
                <w:szCs w:val="36"/>
              </w:rPr>
            </w:pPr>
            <w:bookmarkStart w:id="2" w:name="_Toc12021440"/>
            <w:bookmarkStart w:id="3" w:name="_Toc26719377"/>
            <w:bookmarkStart w:id="4" w:name="_Toc36498136"/>
            <w:bookmarkStart w:id="5" w:name="_Toc45699162"/>
            <w:bookmarkStart w:id="6" w:name="_Toc176421719"/>
            <w:bookmarkStart w:id="7" w:name="_Toc29899525"/>
            <w:bookmarkStart w:id="8" w:name="_Toc29894808"/>
            <w:bookmarkStart w:id="9" w:name="_Toc29917262"/>
            <w:bookmarkStart w:id="10" w:name="_Toc20311552"/>
            <w:bookmarkStart w:id="11" w:name="_Toc29899107"/>
            <w:r>
              <w:rPr>
                <w:rFonts w:ascii="Arial" w:hAnsi="Arial" w:eastAsia="宋体" w:cs="Arial"/>
                <w:sz w:val="32"/>
                <w:szCs w:val="36"/>
              </w:rPr>
              <w:t>4.2</w:t>
            </w:r>
            <w:r>
              <w:rPr>
                <w:rFonts w:ascii="Arial" w:hAnsi="Arial" w:eastAsia="宋体" w:cs="Arial"/>
                <w:sz w:val="32"/>
                <w:szCs w:val="36"/>
              </w:rPr>
              <w:tab/>
            </w:r>
            <w:r>
              <w:rPr>
                <w:rFonts w:hint="eastAsia" w:ascii="Arial" w:hAnsi="Arial" w:eastAsia="宋体" w:cs="Arial"/>
                <w:sz w:val="32"/>
                <w:szCs w:val="36"/>
              </w:rPr>
              <w:t xml:space="preserve">  </w:t>
            </w:r>
            <w:r>
              <w:rPr>
                <w:rFonts w:ascii="Arial" w:hAnsi="Arial" w:eastAsia="宋体" w:cs="Arial"/>
                <w:sz w:val="32"/>
                <w:szCs w:val="36"/>
              </w:rPr>
              <w:t>Transmission timing adjustments</w:t>
            </w:r>
            <w:bookmarkEnd w:id="2"/>
            <w:bookmarkEnd w:id="3"/>
            <w:bookmarkEnd w:id="4"/>
            <w:bookmarkEnd w:id="5"/>
            <w:bookmarkEnd w:id="6"/>
            <w:bookmarkEnd w:id="7"/>
            <w:bookmarkEnd w:id="8"/>
            <w:bookmarkEnd w:id="9"/>
            <w:bookmarkEnd w:id="10"/>
            <w:bookmarkEnd w:id="11"/>
          </w:p>
          <w:p>
            <w:pPr>
              <w:adjustRightInd w:val="0"/>
              <w:spacing w:after="180"/>
              <w:jc w:val="center"/>
              <w:rPr>
                <w:rFonts w:eastAsia="宋体"/>
                <w:color w:val="FF0000"/>
              </w:rPr>
            </w:pPr>
            <w:r>
              <w:rPr>
                <w:rFonts w:eastAsia="宋体"/>
                <w:color w:val="FF0000"/>
              </w:rPr>
              <w:t>&lt;</w:t>
            </w:r>
            <w:r>
              <w:rPr>
                <w:rFonts w:hint="eastAsia" w:eastAsia="宋体"/>
                <w:color w:val="FF0000"/>
              </w:rPr>
              <w:t xml:space="preserve">Unrelated </w:t>
            </w:r>
            <w:r>
              <w:rPr>
                <w:rFonts w:eastAsia="宋体"/>
                <w:color w:val="FF0000"/>
              </w:rPr>
              <w:t>parts are omitted&gt;</w:t>
            </w:r>
          </w:p>
          <w:p>
            <w:pPr>
              <w:adjustRightInd w:val="0"/>
              <w:spacing w:after="180"/>
            </w:pPr>
            <w:r>
              <w:t xml:space="preserve">For operation with single TAG on a serving cell, if two adjacent slots overlap due to a TA command or due to update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TA,adj</m:t>
                  </m:r>
                  <m:ctrlPr>
                    <w:rPr>
                      <w:rFonts w:ascii="Cambria Math" w:hAnsi="Cambria Math"/>
                      <w:i/>
                    </w:rPr>
                  </m:ctrlPr>
                </m:sub>
                <m:sup>
                  <m:r>
                    <m:rPr>
                      <m:nor/>
                      <m:sty m:val="p"/>
                    </m:rPr>
                    <m:t>UE</m:t>
                  </m:r>
                  <m:ctrlPr>
                    <w:rPr>
                      <w:rFonts w:ascii="Cambria Math" w:hAnsi="Cambria Math"/>
                      <w:i/>
                    </w:rPr>
                  </m:ctrlPr>
                </m:sup>
              </m:sSubSup>
            </m:oMath>
            <w:r>
              <w:t xml:space="preserve"> or </w:t>
            </w:r>
            <m:oMath>
              <m:sSubSup>
                <m:sSubSupPr>
                  <m:ctrlPr>
                    <w:rPr>
                      <w:rFonts w:ascii="Cambria Math" w:hAnsi="Cambria Math" w:eastAsia="Calibri"/>
                      <w:lang w:eastAsia="ko-KR"/>
                    </w:rPr>
                  </m:ctrlPr>
                </m:sSubSupPr>
                <m:e>
                  <m:r>
                    <m:rPr/>
                    <w:rPr>
                      <w:rFonts w:ascii="Cambria Math" w:hAnsi="Cambria Math"/>
                      <w:lang w:eastAsia="ko-KR"/>
                    </w:rPr>
                    <m:t>N</m:t>
                  </m:r>
                  <m:ctrlPr>
                    <w:rPr>
                      <w:rFonts w:ascii="Cambria Math" w:hAnsi="Cambria Math" w:eastAsia="Calibri"/>
                      <w:lang w:eastAsia="ko-KR"/>
                    </w:rPr>
                  </m:ctrlPr>
                </m:e>
                <m:sub>
                  <m:r>
                    <m:rPr>
                      <m:nor/>
                      <m:sty m:val="p"/>
                    </m:rPr>
                    <w:rPr>
                      <w:lang w:eastAsia="ko-KR"/>
                    </w:rPr>
                    <m:t>TA,adj</m:t>
                  </m:r>
                  <m:ctrlPr>
                    <w:rPr>
                      <w:rFonts w:ascii="Cambria Math" w:hAnsi="Cambria Math" w:eastAsia="Calibri"/>
                      <w:lang w:eastAsia="ko-KR"/>
                    </w:rPr>
                  </m:ctrlPr>
                </m:sub>
                <m:sup>
                  <m:r>
                    <m:rPr>
                      <m:nor/>
                      <m:sty m:val="p"/>
                    </m:rPr>
                    <w:rPr>
                      <w:lang w:eastAsia="ko-KR"/>
                    </w:rPr>
                    <m:t>common</m:t>
                  </m:r>
                  <m:ctrlPr>
                    <w:rPr>
                      <w:rFonts w:ascii="Cambria Math" w:hAnsi="Cambria Math" w:eastAsia="Calibri"/>
                      <w:lang w:eastAsia="ko-KR"/>
                    </w:rPr>
                  </m:ctrlPr>
                </m:sup>
              </m:sSubSup>
            </m:oMath>
            <w:r>
              <w:rPr>
                <w:lang w:eastAsia="ko-KR"/>
              </w:rPr>
              <w:t>, when applicable</w:t>
            </w:r>
            <w:r>
              <w:t xml:space="preserve">, the latter slot is reduced in duration relative to the former slot. The UE does not change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TA</m:t>
                  </m:r>
                  <m:ctrlPr>
                    <w:rPr>
                      <w:rFonts w:ascii="Cambria Math" w:hAnsi="Cambria Math"/>
                    </w:rPr>
                  </m:ctrlPr>
                </m:sub>
              </m:sSub>
            </m:oMath>
            <w:r>
              <w:t xml:space="preserve"> during an actual time domain window for a PUSCH or a PUCCH transmission [6, TS 38.214]. If the UE is not provided </w:t>
            </w:r>
            <w:r>
              <w:rPr>
                <w:i/>
                <w:iCs/>
              </w:rPr>
              <w:t>enableSTx2PofMDCI</w:t>
            </w:r>
            <w:r>
              <w:t xml:space="preserve"> and operates with two TAGs on a serving cell, the UE does not expect transmissions associated with different TAGs to overlap unless the UE indicates </w:t>
            </w:r>
            <w:r>
              <w:rPr>
                <w:i/>
                <w:iCs/>
              </w:rPr>
              <w:t>XYZ</w:t>
            </w:r>
            <w:r>
              <w:t xml:space="preserve">; </w:t>
            </w:r>
            <w:r>
              <w:rPr>
                <w:highlight w:val="yellow"/>
              </w:rPr>
              <w:t xml:space="preserve">if the UE indicates </w:t>
            </w:r>
            <w:r>
              <w:rPr>
                <w:i/>
                <w:iCs/>
                <w:highlight w:val="yellow"/>
              </w:rPr>
              <w:t>XYZ</w:t>
            </w:r>
            <w:r>
              <w:rPr>
                <w:highlight w:val="yellow"/>
              </w:rPr>
              <w:t>, the UE reduces in duration a latter transmission using a first TAG to avoid overlapping with a former transmission using a second TAG.</w:t>
            </w:r>
          </w:p>
          <w:p>
            <w:pPr>
              <w:pStyle w:val="69"/>
              <w:spacing w:before="108" w:after="108"/>
              <w:jc w:val="center"/>
              <w:rPr>
                <w:rFonts w:eastAsia="宋体"/>
              </w:rPr>
            </w:pPr>
            <w:r>
              <w:rPr>
                <w:rFonts w:eastAsia="宋体"/>
                <w:color w:val="FF0000"/>
              </w:rPr>
              <w:t>&lt;</w:t>
            </w:r>
            <w:r>
              <w:rPr>
                <w:rFonts w:hint="eastAsia" w:eastAsia="宋体"/>
                <w:color w:val="FF0000"/>
              </w:rPr>
              <w:t xml:space="preserve">Unrelated </w:t>
            </w:r>
            <w:r>
              <w:rPr>
                <w:rFonts w:eastAsia="宋体"/>
                <w:color w:val="FF0000"/>
              </w:rPr>
              <w:t>parts are omitted&gt;</w:t>
            </w:r>
          </w:p>
        </w:tc>
      </w:tr>
    </w:tbl>
    <w:p>
      <w:pPr>
        <w:adjustRightInd w:val="0"/>
        <w:spacing w:before="180" w:beforeLines="50" w:beforeAutospacing="0" w:after="0" w:afterLines="0"/>
        <w:jc w:val="both"/>
        <w:rPr>
          <w:rFonts w:eastAsia="宋体"/>
          <w:i/>
          <w:iCs/>
          <w:szCs w:val="20"/>
        </w:rPr>
      </w:pPr>
      <w:r>
        <w:rPr>
          <w:rFonts w:eastAsia="宋体"/>
          <w:b/>
          <w:bCs/>
          <w:i/>
          <w:iCs/>
          <w:szCs w:val="20"/>
        </w:rPr>
        <w:t xml:space="preserve">Proposal </w:t>
      </w:r>
      <w:r>
        <w:rPr>
          <w:rFonts w:hint="eastAsia" w:eastAsia="宋体"/>
          <w:b/>
          <w:bCs/>
          <w:i/>
          <w:iCs/>
          <w:szCs w:val="20"/>
        </w:rPr>
        <w:t>6</w:t>
      </w:r>
      <w:r>
        <w:rPr>
          <w:rFonts w:eastAsia="宋体"/>
          <w:b/>
          <w:bCs/>
          <w:i/>
          <w:iCs/>
          <w:szCs w:val="20"/>
        </w:rPr>
        <w:t>:</w:t>
      </w:r>
      <w:r>
        <w:rPr>
          <w:rFonts w:eastAsia="宋体"/>
          <w:i/>
          <w:iCs/>
          <w:szCs w:val="20"/>
        </w:rPr>
        <w:t xml:space="preserve"> </w:t>
      </w:r>
      <w:r>
        <w:rPr>
          <w:rFonts w:hint="eastAsia" w:eastAsia="等线"/>
          <w:i/>
          <w:iCs/>
          <w:szCs w:val="20"/>
        </w:rPr>
        <w:t xml:space="preserve">For </w:t>
      </w:r>
      <w:r>
        <w:rPr>
          <w:rFonts w:eastAsia="等线"/>
          <w:i/>
          <w:iCs/>
          <w:szCs w:val="20"/>
          <w:lang w:val="en-GB" w:eastAsia="en-US"/>
        </w:rPr>
        <w:t>UE capability</w:t>
      </w:r>
      <w:r>
        <w:rPr>
          <w:rFonts w:hint="eastAsia" w:eastAsia="等线"/>
          <w:i/>
          <w:iCs/>
          <w:szCs w:val="20"/>
        </w:rPr>
        <w:t xml:space="preserve"> of </w:t>
      </w:r>
      <w:r>
        <w:rPr>
          <w:rFonts w:eastAsia="宋体"/>
          <w:i/>
          <w:iCs/>
          <w:szCs w:val="20"/>
        </w:rPr>
        <w:t>“</w:t>
      </w:r>
      <w:r>
        <w:rPr>
          <w:rFonts w:hint="eastAsia" w:eastAsia="宋体"/>
          <w:i/>
          <w:iCs/>
          <w:szCs w:val="20"/>
        </w:rPr>
        <w:t>Overlapping UL transmission reduction</w:t>
      </w:r>
      <w:r>
        <w:rPr>
          <w:rFonts w:eastAsia="宋体"/>
          <w:i/>
          <w:iCs/>
          <w:szCs w:val="20"/>
        </w:rPr>
        <w:t>”</w:t>
      </w:r>
      <w:r>
        <w:rPr>
          <w:rFonts w:hint="eastAsia" w:eastAsia="宋体"/>
          <w:i/>
          <w:iCs/>
          <w:szCs w:val="20"/>
        </w:rPr>
        <w:t xml:space="preserve"> for Rel-19 two TAs, </w:t>
      </w:r>
      <w:r>
        <w:rPr>
          <w:rStyle w:val="32"/>
          <w:rFonts w:cs="Times"/>
          <w:iCs/>
          <w:szCs w:val="20"/>
        </w:rPr>
        <w:t>the overlapping duration of the lat</w:t>
      </w:r>
      <w:r>
        <w:rPr>
          <w:rStyle w:val="32"/>
          <w:rFonts w:hint="eastAsia" w:eastAsia="宋体" w:cs="Times"/>
          <w:iCs/>
          <w:szCs w:val="20"/>
        </w:rPr>
        <w:t>t</w:t>
      </w:r>
      <w:r>
        <w:rPr>
          <w:rStyle w:val="32"/>
          <w:rFonts w:cs="Times"/>
          <w:iCs/>
          <w:szCs w:val="20"/>
        </w:rPr>
        <w:t>er</w:t>
      </w:r>
      <w:r>
        <w:rPr>
          <w:rStyle w:val="32"/>
          <w:rFonts w:hint="eastAsia" w:eastAsia="宋体" w:cs="Times"/>
          <w:iCs/>
          <w:szCs w:val="20"/>
        </w:rPr>
        <w:t xml:space="preserve"> one of two UL</w:t>
      </w:r>
      <w:r>
        <w:rPr>
          <w:rStyle w:val="32"/>
          <w:rFonts w:cs="Times"/>
          <w:iCs/>
          <w:szCs w:val="20"/>
        </w:rPr>
        <w:t xml:space="preserve"> transmissions is reduced</w:t>
      </w:r>
      <w:r>
        <w:rPr>
          <w:rStyle w:val="32"/>
          <w:rFonts w:hint="eastAsia" w:eastAsia="宋体" w:cs="Times"/>
          <w:iCs/>
          <w:szCs w:val="20"/>
        </w:rPr>
        <w:t>, where the two overlapped UL transmissions are associated with two TAGs</w:t>
      </w:r>
      <w:r>
        <w:rPr>
          <w:rFonts w:eastAsia="宋体"/>
          <w:i/>
          <w:iCs/>
          <w:szCs w:val="20"/>
        </w:rPr>
        <w:t>.</w:t>
      </w:r>
    </w:p>
    <w:p>
      <w:pPr>
        <w:adjustRightInd w:val="0"/>
        <w:spacing w:before="180" w:beforeLines="50" w:beforeAutospacing="0" w:after="180"/>
        <w:jc w:val="both"/>
        <w:rPr>
          <w:rFonts w:eastAsia="宋体"/>
          <w:szCs w:val="20"/>
        </w:rPr>
      </w:pPr>
      <w:r>
        <w:rPr>
          <w:rFonts w:eastAsia="宋体"/>
          <w:szCs w:val="20"/>
        </w:rPr>
        <w:t xml:space="preserve">Regarding autonomous TA adjustment, UE </w:t>
      </w:r>
      <w:r>
        <w:rPr>
          <w:rFonts w:hint="eastAsia" w:eastAsia="宋体"/>
          <w:szCs w:val="20"/>
        </w:rPr>
        <w:t>shoul</w:t>
      </w:r>
      <w:r>
        <w:rPr>
          <w:rFonts w:eastAsia="宋体"/>
          <w:szCs w:val="20"/>
        </w:rPr>
        <w:t xml:space="preserve">d </w:t>
      </w:r>
      <w:r>
        <w:t>adjust its timing to within T</w:t>
      </w:r>
      <w:r>
        <w:rPr>
          <w:vertAlign w:val="subscript"/>
        </w:rPr>
        <w:t>e</w:t>
      </w:r>
      <w:r>
        <w:t xml:space="preserve"> as specified in TS 38.133. For two TAs introduced for MDCI MTRP in Rel-18, </w:t>
      </w:r>
      <w:r>
        <w:rPr>
          <w:rFonts w:eastAsia="宋体"/>
          <w:szCs w:val="20"/>
        </w:rPr>
        <w:t>there was no any further enhancement on how to perform autonomous TA adjustment in case of two TA</w:t>
      </w:r>
      <w:r>
        <w:rPr>
          <w:rFonts w:hint="eastAsia" w:eastAsia="宋体"/>
          <w:szCs w:val="20"/>
        </w:rPr>
        <w:t>G</w:t>
      </w:r>
      <w:r>
        <w:rPr>
          <w:rFonts w:eastAsia="宋体"/>
          <w:szCs w:val="20"/>
        </w:rPr>
        <w:t>s</w:t>
      </w:r>
      <w:r>
        <w:rPr>
          <w:rFonts w:hint="eastAsia" w:eastAsia="宋体"/>
          <w:szCs w:val="20"/>
        </w:rPr>
        <w:t xml:space="preserve"> are configured</w:t>
      </w:r>
      <w:r>
        <w:rPr>
          <w:rFonts w:eastAsia="宋体"/>
          <w:szCs w:val="20"/>
        </w:rPr>
        <w:t>. Consequently, that means it is up to UE implementation, e.g., the UE can perform autonomous TA adjustment for both of two TAGs or either one of them. Note that it is to reuse Rel-18 specification of two TAs for MDCI MTRP as stated in the WID, and then the same assumption on autonomous TA adjustment in case of two TAs in Rel-19 should be adopted.</w:t>
      </w:r>
    </w:p>
    <w:p>
      <w:pPr>
        <w:adjustRightInd w:val="0"/>
        <w:spacing w:before="180" w:beforeLines="50" w:beforeAutospacing="0" w:after="0" w:afterLines="0"/>
        <w:jc w:val="both"/>
        <w:rPr>
          <w:rFonts w:eastAsia="宋体"/>
          <w:i/>
          <w:iCs/>
          <w:szCs w:val="20"/>
        </w:rPr>
      </w:pPr>
      <w:r>
        <w:rPr>
          <w:rFonts w:eastAsia="宋体"/>
          <w:b/>
          <w:bCs/>
          <w:i/>
          <w:iCs/>
          <w:szCs w:val="20"/>
        </w:rPr>
        <w:t>Observation 1:</w:t>
      </w:r>
      <w:r>
        <w:rPr>
          <w:rFonts w:eastAsia="宋体"/>
          <w:i/>
          <w:iCs/>
          <w:szCs w:val="20"/>
        </w:rPr>
        <w:t xml:space="preserve"> It is up to UE implementation with zero specification impact on how to perform autonomous TA adjustment when the UE is configured with two TAGs.</w:t>
      </w:r>
    </w:p>
    <w:p>
      <w:pPr>
        <w:adjustRightInd w:val="0"/>
        <w:spacing w:before="180" w:beforeLines="50" w:beforeAutospacing="0" w:after="180"/>
        <w:jc w:val="both"/>
        <w:rPr>
          <w:rFonts w:eastAsia="宋体"/>
          <w:szCs w:val="20"/>
        </w:rPr>
      </w:pPr>
      <w:r>
        <w:rPr>
          <w:rFonts w:eastAsia="宋体"/>
          <w:szCs w:val="20"/>
        </w:rPr>
        <w:t xml:space="preserve">Regarding the physical overlapping caused by two TAs in case of PUSCH repetition Type B, it can be foreseen and avoided by gNB scheduling properly, i.e., RRC configuration of </w:t>
      </w:r>
      <w:r>
        <w:rPr>
          <w:rFonts w:eastAsia="宋体"/>
          <w:i/>
          <w:iCs/>
          <w:szCs w:val="20"/>
        </w:rPr>
        <w:t>invalidSymbolPattern</w:t>
      </w:r>
      <w:r>
        <w:rPr>
          <w:rFonts w:eastAsia="宋体"/>
          <w:szCs w:val="20"/>
        </w:rPr>
        <w:t xml:space="preserve">. In addition, it could be noted that the overlapping duration caused by two TAs is two symbols at most, hence it can be fully addressed by the appropriate value of </w:t>
      </w:r>
      <w:r>
        <w:rPr>
          <w:rFonts w:eastAsia="宋体"/>
          <w:i/>
          <w:iCs/>
          <w:szCs w:val="20"/>
        </w:rPr>
        <w:t>invalidSymbolPattern</w:t>
      </w:r>
      <w:r>
        <w:rPr>
          <w:rFonts w:eastAsia="宋体"/>
          <w:szCs w:val="20"/>
        </w:rPr>
        <w:t xml:space="preserve"> for PUSCH repetition Type B.</w:t>
      </w:r>
    </w:p>
    <w:p>
      <w:pPr>
        <w:adjustRightInd w:val="0"/>
        <w:spacing w:before="180" w:beforeLines="50" w:beforeAutospacing="0" w:after="0" w:afterLines="0"/>
        <w:jc w:val="both"/>
        <w:rPr>
          <w:rFonts w:eastAsia="宋体"/>
          <w:i/>
          <w:iCs/>
          <w:szCs w:val="20"/>
        </w:rPr>
      </w:pPr>
      <w:r>
        <w:rPr>
          <w:rFonts w:eastAsia="宋体"/>
          <w:b/>
          <w:bCs/>
          <w:i/>
          <w:iCs/>
          <w:szCs w:val="20"/>
        </w:rPr>
        <w:t>Observation 2:</w:t>
      </w:r>
      <w:r>
        <w:rPr>
          <w:rFonts w:eastAsia="宋体"/>
          <w:i/>
          <w:iCs/>
          <w:szCs w:val="20"/>
        </w:rPr>
        <w:t xml:space="preserve"> For the case of PUSCH repetition Type B, the unexpected physical overlapping caused by two TAGs can be avoided by appropriate RRC configuration (i.e., the higher layer parameter invalidSymbolPattern) without additional specification impact.</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adjustRightInd w:val="0"/>
        <w:spacing w:before="180" w:beforeLines="50" w:beforeAutospacing="0" w:after="180"/>
        <w:jc w:val="both"/>
        <w:rPr>
          <w:szCs w:val="20"/>
        </w:rPr>
      </w:pPr>
      <w:r>
        <w:rPr>
          <w:szCs w:val="20"/>
        </w:rPr>
        <w:t xml:space="preserve">In this contribution, we present our views </w:t>
      </w:r>
      <w:r>
        <w:rPr>
          <w:rFonts w:eastAsia="宋体"/>
          <w:szCs w:val="20"/>
        </w:rPr>
        <w:t xml:space="preserve">of the </w:t>
      </w:r>
      <w:r>
        <w:rPr>
          <w:szCs w:val="20"/>
        </w:rPr>
        <w:t>enhancement</w:t>
      </w:r>
      <w:r>
        <w:rPr>
          <w:rFonts w:eastAsia="宋体"/>
          <w:szCs w:val="20"/>
        </w:rPr>
        <w:t>s</w:t>
      </w:r>
      <w:r>
        <w:rPr>
          <w:szCs w:val="20"/>
        </w:rPr>
        <w:t xml:space="preserve"> </w:t>
      </w:r>
      <w:r>
        <w:rPr>
          <w:rFonts w:eastAsia="宋体"/>
          <w:szCs w:val="20"/>
        </w:rPr>
        <w:t>for asymmetric DL sTRP/UL</w:t>
      </w:r>
      <w:r>
        <w:rPr>
          <w:szCs w:val="20"/>
        </w:rPr>
        <w:t xml:space="preserve"> </w:t>
      </w:r>
      <w:r>
        <w:rPr>
          <w:rFonts w:eastAsia="宋体"/>
          <w:szCs w:val="20"/>
        </w:rPr>
        <w:t>mTRP scenarios with</w:t>
      </w:r>
      <w:r>
        <w:rPr>
          <w:szCs w:val="20"/>
        </w:rPr>
        <w:t xml:space="preserve"> the following </w:t>
      </w:r>
      <w:r>
        <w:rPr>
          <w:rFonts w:eastAsia="宋体"/>
          <w:szCs w:val="20"/>
        </w:rPr>
        <w:t>observation</w:t>
      </w:r>
      <w:r>
        <w:rPr>
          <w:rFonts w:hint="eastAsia" w:eastAsia="宋体"/>
          <w:szCs w:val="20"/>
        </w:rPr>
        <w:t>s</w:t>
      </w:r>
      <w:r>
        <w:rPr>
          <w:rFonts w:eastAsia="宋体"/>
          <w:szCs w:val="20"/>
        </w:rPr>
        <w:t xml:space="preserve"> and </w:t>
      </w:r>
      <w:r>
        <w:rPr>
          <w:szCs w:val="20"/>
        </w:rPr>
        <w:t>proposals.</w:t>
      </w:r>
    </w:p>
    <w:p>
      <w:pPr>
        <w:adjustRightInd w:val="0"/>
        <w:spacing w:before="180" w:beforeLines="50" w:beforeAutospacing="0" w:after="0" w:afterLines="0"/>
        <w:jc w:val="both"/>
        <w:rPr>
          <w:rFonts w:eastAsia="宋体"/>
          <w:i/>
          <w:iCs/>
          <w:szCs w:val="20"/>
        </w:rPr>
      </w:pPr>
      <w:r>
        <w:rPr>
          <w:rFonts w:eastAsia="宋体"/>
          <w:b/>
          <w:bCs/>
          <w:i/>
          <w:iCs/>
          <w:szCs w:val="20"/>
        </w:rPr>
        <w:t>Observation 1:</w:t>
      </w:r>
      <w:r>
        <w:rPr>
          <w:rFonts w:eastAsia="宋体"/>
          <w:i/>
          <w:iCs/>
          <w:szCs w:val="20"/>
        </w:rPr>
        <w:t xml:space="preserve"> It is up to UE implementation with zero specification impact on how to perform autonomous TA adjustment when the UE is configured with two TAGs.</w:t>
      </w:r>
    </w:p>
    <w:p>
      <w:pPr>
        <w:adjustRightInd w:val="0"/>
        <w:spacing w:before="180" w:beforeLines="50" w:beforeAutospacing="0" w:after="0" w:afterLines="0"/>
        <w:jc w:val="both"/>
        <w:rPr>
          <w:rFonts w:eastAsia="宋体"/>
          <w:i/>
          <w:iCs/>
          <w:szCs w:val="20"/>
        </w:rPr>
      </w:pPr>
      <w:r>
        <w:rPr>
          <w:rFonts w:eastAsia="宋体"/>
          <w:b/>
          <w:bCs/>
          <w:i/>
          <w:iCs/>
          <w:szCs w:val="20"/>
        </w:rPr>
        <w:t>Observation 2:</w:t>
      </w:r>
      <w:r>
        <w:rPr>
          <w:rFonts w:eastAsia="宋体"/>
          <w:i/>
          <w:iCs/>
          <w:szCs w:val="20"/>
        </w:rPr>
        <w:t xml:space="preserve"> For the case of PUSCH repetition Type B, the unexpected physical overlapping caused by two TAGs can be avoided by appropriate RRC configuration (i.e., the higher layer parameter invalidSymbolPattern) without additional specification impact.</w:t>
      </w:r>
    </w:p>
    <w:p>
      <w:pPr>
        <w:adjustRightInd w:val="0"/>
        <w:spacing w:before="180" w:beforeLines="50" w:beforeAutospacing="0" w:after="0" w:afterLines="0"/>
        <w:jc w:val="both"/>
        <w:rPr>
          <w:rFonts w:eastAsia="宋体"/>
          <w:i/>
          <w:iCs/>
          <w:szCs w:val="20"/>
        </w:rPr>
      </w:pPr>
      <w:r>
        <w:rPr>
          <w:rFonts w:eastAsia="宋体"/>
          <w:b/>
          <w:bCs/>
          <w:i/>
          <w:iCs/>
          <w:szCs w:val="20"/>
        </w:rPr>
        <w:t>Proposal 1:</w:t>
      </w:r>
      <w:r>
        <w:rPr>
          <w:rFonts w:eastAsia="宋体"/>
          <w:i/>
          <w:iCs/>
          <w:szCs w:val="20"/>
        </w:rPr>
        <w:t xml:space="preserve"> </w:t>
      </w:r>
      <w:r>
        <w:rPr>
          <w:rFonts w:eastAsia="等线"/>
          <w:i/>
          <w:szCs w:val="20"/>
          <w:lang w:val="en-GB"/>
        </w:rPr>
        <w:t xml:space="preserve">Support </w:t>
      </w:r>
      <w:r>
        <w:rPr>
          <w:rFonts w:eastAsia="等线"/>
          <w:i/>
          <w:szCs w:val="20"/>
        </w:rPr>
        <w:t xml:space="preserve">that </w:t>
      </w:r>
      <w:r>
        <w:rPr>
          <w:rFonts w:eastAsia="宋体"/>
          <w:i/>
          <w:szCs w:val="20"/>
        </w:rPr>
        <w:t>Type 3 PHR can be reported in the serving cell if the UE is configured with two separate SRS CLPC adjustment states, for the case if only one UL carrier is configured in the serving cell and the UE is configured with PUSCH transmission on the UL carrier</w:t>
      </w:r>
      <w:r>
        <w:rPr>
          <w:rFonts w:eastAsia="宋体"/>
          <w:i/>
          <w:iCs/>
          <w:szCs w:val="20"/>
        </w:rPr>
        <w:t>.</w:t>
      </w:r>
    </w:p>
    <w:p>
      <w:pPr>
        <w:adjustRightInd w:val="0"/>
        <w:spacing w:before="180" w:beforeLines="50" w:beforeAutospacing="0" w:after="0" w:afterLines="0"/>
        <w:jc w:val="both"/>
        <w:rPr>
          <w:rFonts w:eastAsia="宋体"/>
          <w:i/>
          <w:iCs/>
          <w:szCs w:val="20"/>
        </w:rPr>
      </w:pPr>
      <w:r>
        <w:rPr>
          <w:rFonts w:eastAsia="宋体"/>
          <w:b/>
          <w:bCs/>
          <w:i/>
          <w:iCs/>
          <w:szCs w:val="20"/>
        </w:rPr>
        <w:t xml:space="preserve">Proposal 2: </w:t>
      </w:r>
      <w:r>
        <w:rPr>
          <w:rFonts w:eastAsia="等线"/>
          <w:i/>
          <w:szCs w:val="20"/>
          <w:lang w:val="en-GB"/>
        </w:rPr>
        <w:t xml:space="preserve">Support to apply PL offset on PDCCH-order PRACH towards </w:t>
      </w:r>
      <w:r>
        <w:rPr>
          <w:rFonts w:eastAsia="等线"/>
          <w:i/>
          <w:szCs w:val="20"/>
        </w:rPr>
        <w:t xml:space="preserve">to </w:t>
      </w:r>
      <w:r>
        <w:rPr>
          <w:rFonts w:eastAsia="等线"/>
          <w:i/>
          <w:szCs w:val="20"/>
          <w:lang w:val="en-GB"/>
        </w:rPr>
        <w:t>UL TPR(s) in FR2.</w:t>
      </w:r>
    </w:p>
    <w:p>
      <w:pPr>
        <w:pStyle w:val="52"/>
        <w:numPr>
          <w:ilvl w:val="0"/>
          <w:numId w:val="10"/>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iCs/>
          <w:szCs w:val="20"/>
        </w:rPr>
        <w:t>Reuse the mechanism</w:t>
      </w:r>
      <w:r>
        <w:rPr>
          <w:rFonts w:ascii="Times New Roman" w:hAnsi="Times New Roman" w:eastAsia="宋体"/>
          <w:i/>
          <w:iCs/>
          <w:szCs w:val="20"/>
          <w:lang w:val="en-US"/>
        </w:rPr>
        <w:t>s</w:t>
      </w:r>
      <w:r>
        <w:rPr>
          <w:rFonts w:ascii="Times New Roman" w:hAnsi="Times New Roman" w:eastAsia="宋体"/>
          <w:i/>
          <w:iCs/>
          <w:szCs w:val="20"/>
        </w:rPr>
        <w:t xml:space="preserve"> on PL offset indication for PDCCH-order PRACH towards UL TRP(s) in FR1</w:t>
      </w:r>
      <w:r>
        <w:rPr>
          <w:rFonts w:ascii="Times New Roman" w:hAnsi="Times New Roman" w:eastAsia="宋体"/>
          <w:i/>
          <w:szCs w:val="20"/>
        </w:rPr>
        <w:t>.</w:t>
      </w:r>
    </w:p>
    <w:p>
      <w:pPr>
        <w:adjustRightInd w:val="0"/>
        <w:spacing w:before="180" w:beforeLines="50" w:beforeAutospacing="0" w:after="0" w:afterLines="0"/>
        <w:jc w:val="both"/>
        <w:rPr>
          <w:rFonts w:eastAsia="宋体"/>
          <w:i/>
          <w:szCs w:val="20"/>
        </w:rPr>
      </w:pPr>
      <w:r>
        <w:rPr>
          <w:rFonts w:eastAsia="宋体"/>
          <w:b/>
          <w:bCs/>
          <w:i/>
          <w:iCs/>
          <w:szCs w:val="20"/>
        </w:rPr>
        <w:t>Proposal 3:</w:t>
      </w:r>
      <w:r>
        <w:rPr>
          <w:rFonts w:eastAsia="宋体"/>
          <w:i/>
          <w:iCs/>
          <w:szCs w:val="20"/>
        </w:rPr>
        <w:t xml:space="preserve"> </w:t>
      </w:r>
      <w:r>
        <w:rPr>
          <w:rFonts w:eastAsia="宋体"/>
          <w:i/>
          <w:szCs w:val="20"/>
        </w:rPr>
        <w:t>Support to confirm the WA on introducing a 2-bit TPC command field and a 1-bit SRS closed-loop indicator field in DCI format 1_1.</w:t>
      </w:r>
    </w:p>
    <w:p>
      <w:pPr>
        <w:adjustRightInd w:val="0"/>
        <w:spacing w:before="180" w:beforeLines="50" w:beforeAutospacing="0" w:after="0" w:afterLines="0"/>
        <w:jc w:val="both"/>
        <w:rPr>
          <w:rFonts w:eastAsia="宋体"/>
          <w:i/>
          <w:szCs w:val="20"/>
        </w:rPr>
      </w:pPr>
      <w:r>
        <w:rPr>
          <w:rFonts w:eastAsia="宋体"/>
          <w:b/>
          <w:bCs/>
          <w:i/>
          <w:iCs/>
          <w:szCs w:val="20"/>
        </w:rPr>
        <w:t>Proposal 4:</w:t>
      </w:r>
      <w:r>
        <w:rPr>
          <w:rFonts w:eastAsia="宋体"/>
          <w:i/>
          <w:iCs/>
          <w:szCs w:val="20"/>
        </w:rPr>
        <w:t xml:space="preserve"> For application manner of TPC command indicated by DCI format 1_1 for SRS with separate CLPC adjustment state, support to reuse the legacy mechanisms of DCI format 2_3</w:t>
      </w:r>
      <w:r>
        <w:rPr>
          <w:rFonts w:eastAsia="宋体"/>
          <w:i/>
          <w:szCs w:val="20"/>
        </w:rPr>
        <w:t>.</w:t>
      </w:r>
    </w:p>
    <w:p>
      <w:pPr>
        <w:adjustRightInd w:val="0"/>
        <w:spacing w:before="180" w:beforeLines="50" w:beforeAutospacing="0" w:after="0" w:afterLines="0"/>
        <w:jc w:val="both"/>
        <w:rPr>
          <w:rFonts w:eastAsia="宋体"/>
          <w:i/>
          <w:iCs/>
          <w:szCs w:val="20"/>
        </w:rPr>
      </w:pPr>
      <w:r>
        <w:rPr>
          <w:rFonts w:eastAsia="宋体"/>
          <w:b/>
          <w:bCs/>
          <w:i/>
          <w:iCs/>
          <w:szCs w:val="20"/>
        </w:rPr>
        <w:t>Proposal 5:</w:t>
      </w:r>
      <w:r>
        <w:rPr>
          <w:rFonts w:eastAsia="宋体"/>
          <w:i/>
          <w:iCs/>
          <w:szCs w:val="20"/>
        </w:rPr>
        <w:t xml:space="preserve"> Support that one out of two separate CLPC adjustment states for SRS can be configured to one SRS resource set (Alt1).</w:t>
      </w:r>
    </w:p>
    <w:p>
      <w:pPr>
        <w:pStyle w:val="52"/>
        <w:numPr>
          <w:ilvl w:val="0"/>
          <w:numId w:val="10"/>
        </w:numPr>
        <w:spacing w:before="0" w:beforeLines="0" w:after="0" w:afterLines="0" w:line="240" w:lineRule="auto"/>
        <w:ind w:leftChars="0"/>
        <w:rPr>
          <w:rFonts w:ascii="Times New Roman" w:hAnsi="Times New Roman" w:eastAsia="宋体"/>
          <w:szCs w:val="20"/>
        </w:rPr>
      </w:pPr>
      <w:r>
        <w:rPr>
          <w:rFonts w:ascii="Times New Roman" w:hAnsi="Times New Roman" w:eastAsia="宋体"/>
          <w:i/>
          <w:iCs/>
          <w:szCs w:val="20"/>
        </w:rPr>
        <w:t xml:space="preserve">In this way, </w:t>
      </w:r>
      <w:r>
        <w:rPr>
          <w:rFonts w:ascii="Times New Roman" w:hAnsi="Times New Roman" w:eastAsia="等线"/>
          <w:i/>
          <w:szCs w:val="20"/>
          <w:lang w:eastAsia="en-US"/>
        </w:rPr>
        <w:t>closedLoopIndex-r17 for SRS in the TCI state is not to be used to indicate the SRS CLPC adjustment state</w:t>
      </w:r>
      <w:r>
        <w:rPr>
          <w:rFonts w:ascii="Times New Roman" w:hAnsi="Times New Roman" w:eastAsia="宋体"/>
          <w:i/>
          <w:szCs w:val="20"/>
        </w:rPr>
        <w:t>.</w:t>
      </w:r>
    </w:p>
    <w:p>
      <w:pPr>
        <w:adjustRightInd w:val="0"/>
        <w:spacing w:before="180" w:beforeLines="50" w:beforeAutospacing="0" w:after="0" w:afterLines="0"/>
        <w:jc w:val="both"/>
        <w:rPr>
          <w:rFonts w:eastAsia="宋体"/>
          <w:i/>
          <w:iCs/>
          <w:szCs w:val="20"/>
        </w:rPr>
      </w:pPr>
      <w:r>
        <w:rPr>
          <w:rFonts w:eastAsia="宋体"/>
          <w:b/>
          <w:bCs/>
          <w:i/>
          <w:iCs/>
          <w:szCs w:val="20"/>
        </w:rPr>
        <w:t xml:space="preserve">Proposal </w:t>
      </w:r>
      <w:r>
        <w:rPr>
          <w:rFonts w:hint="eastAsia" w:eastAsia="宋体"/>
          <w:b/>
          <w:bCs/>
          <w:i/>
          <w:iCs/>
          <w:szCs w:val="20"/>
        </w:rPr>
        <w:t>6</w:t>
      </w:r>
      <w:r>
        <w:rPr>
          <w:rFonts w:eastAsia="宋体"/>
          <w:b/>
          <w:bCs/>
          <w:i/>
          <w:iCs/>
          <w:szCs w:val="20"/>
        </w:rPr>
        <w:t>:</w:t>
      </w:r>
      <w:r>
        <w:rPr>
          <w:rFonts w:eastAsia="宋体"/>
          <w:i/>
          <w:iCs/>
          <w:szCs w:val="20"/>
        </w:rPr>
        <w:t xml:space="preserve"> </w:t>
      </w:r>
      <w:r>
        <w:rPr>
          <w:rFonts w:hint="eastAsia" w:eastAsia="等线"/>
          <w:i/>
          <w:iCs/>
          <w:szCs w:val="20"/>
        </w:rPr>
        <w:t xml:space="preserve">For </w:t>
      </w:r>
      <w:r>
        <w:rPr>
          <w:rFonts w:eastAsia="等线"/>
          <w:i/>
          <w:iCs/>
          <w:szCs w:val="20"/>
          <w:lang w:val="en-GB" w:eastAsia="en-US"/>
        </w:rPr>
        <w:t>UE capability</w:t>
      </w:r>
      <w:r>
        <w:rPr>
          <w:rFonts w:hint="eastAsia" w:eastAsia="等线"/>
          <w:i/>
          <w:iCs/>
          <w:szCs w:val="20"/>
        </w:rPr>
        <w:t xml:space="preserve"> of </w:t>
      </w:r>
      <w:r>
        <w:rPr>
          <w:rFonts w:eastAsia="宋体"/>
          <w:i/>
          <w:iCs/>
          <w:szCs w:val="20"/>
        </w:rPr>
        <w:t>“</w:t>
      </w:r>
      <w:r>
        <w:rPr>
          <w:rFonts w:hint="eastAsia" w:eastAsia="宋体"/>
          <w:i/>
          <w:iCs/>
          <w:szCs w:val="20"/>
        </w:rPr>
        <w:t>Overlapping UL transmission reduction</w:t>
      </w:r>
      <w:r>
        <w:rPr>
          <w:rFonts w:eastAsia="宋体"/>
          <w:i/>
          <w:iCs/>
          <w:szCs w:val="20"/>
        </w:rPr>
        <w:t>”</w:t>
      </w:r>
      <w:r>
        <w:rPr>
          <w:rFonts w:hint="eastAsia" w:eastAsia="宋体"/>
          <w:i/>
          <w:iCs/>
          <w:szCs w:val="20"/>
        </w:rPr>
        <w:t xml:space="preserve"> for Rel-19 two TAs, </w:t>
      </w:r>
      <w:r>
        <w:rPr>
          <w:rStyle w:val="32"/>
          <w:rFonts w:cs="Times"/>
          <w:iCs/>
          <w:szCs w:val="20"/>
        </w:rPr>
        <w:t>the overlapping duration of the lat</w:t>
      </w:r>
      <w:r>
        <w:rPr>
          <w:rStyle w:val="32"/>
          <w:rFonts w:hint="eastAsia" w:eastAsia="宋体" w:cs="Times"/>
          <w:iCs/>
          <w:szCs w:val="20"/>
        </w:rPr>
        <w:t>t</w:t>
      </w:r>
      <w:r>
        <w:rPr>
          <w:rStyle w:val="32"/>
          <w:rFonts w:cs="Times"/>
          <w:iCs/>
          <w:szCs w:val="20"/>
        </w:rPr>
        <w:t>er</w:t>
      </w:r>
      <w:r>
        <w:rPr>
          <w:rStyle w:val="32"/>
          <w:rFonts w:hint="eastAsia" w:eastAsia="宋体" w:cs="Times"/>
          <w:iCs/>
          <w:szCs w:val="20"/>
        </w:rPr>
        <w:t xml:space="preserve"> one of two UL</w:t>
      </w:r>
      <w:r>
        <w:rPr>
          <w:rStyle w:val="32"/>
          <w:rFonts w:cs="Times"/>
          <w:iCs/>
          <w:szCs w:val="20"/>
        </w:rPr>
        <w:t xml:space="preserve"> transmissions is reduced</w:t>
      </w:r>
      <w:r>
        <w:rPr>
          <w:rStyle w:val="32"/>
          <w:rFonts w:hint="eastAsia" w:eastAsia="宋体" w:cs="Times"/>
          <w:iCs/>
          <w:szCs w:val="20"/>
        </w:rPr>
        <w:t>, where the two overlapped UL transmissions are associated with two TAGs</w:t>
      </w:r>
      <w:r>
        <w:rPr>
          <w:rFonts w:eastAsia="宋体"/>
          <w:i/>
          <w:iCs/>
          <w:szCs w:val="20"/>
        </w:rPr>
        <w:t>.</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12" w:name="_Ref446506608"/>
      <w:bookmarkEnd w:id="12"/>
      <w:bookmarkStart w:id="13" w:name="_Ref446511358"/>
      <w:bookmarkEnd w:id="13"/>
      <w:bookmarkStart w:id="14" w:name="_Ref446507216"/>
      <w:bookmarkEnd w:id="14"/>
    </w:p>
    <w:p>
      <w:pPr>
        <w:pStyle w:val="120"/>
        <w:spacing w:before="0" w:beforeLines="0" w:after="0" w:afterLines="0"/>
        <w:ind w:left="363" w:hanging="363"/>
        <w:rPr>
          <w:bCs/>
          <w:szCs w:val="20"/>
        </w:rPr>
      </w:pPr>
      <w:r>
        <w:rPr>
          <w:bCs/>
          <w:szCs w:val="20"/>
        </w:rPr>
        <w:t>RP-242394, WID revision: NR MIMO Phase 5, Moderator (Samsung)</w:t>
      </w:r>
    </w:p>
    <w:p>
      <w:pPr>
        <w:pStyle w:val="120"/>
        <w:spacing w:before="0" w:beforeLines="0" w:after="0" w:afterLines="0"/>
        <w:ind w:left="363" w:hanging="363"/>
        <w:rPr>
          <w:bCs/>
          <w:szCs w:val="20"/>
        </w:rPr>
      </w:pPr>
      <w:bookmarkStart w:id="15" w:name="OLE_LINK1"/>
      <w:bookmarkStart w:id="16" w:name="OLE_LINK2"/>
      <w:r>
        <w:rPr>
          <w:bCs/>
          <w:szCs w:val="20"/>
        </w:rPr>
        <w:t>Chair's Notes RAN1#118bis, October 14</w:t>
      </w:r>
      <w:r>
        <w:rPr>
          <w:bCs/>
          <w:szCs w:val="20"/>
          <w:vertAlign w:val="superscript"/>
        </w:rPr>
        <w:t>th</w:t>
      </w:r>
      <w:r>
        <w:rPr>
          <w:bCs/>
          <w:szCs w:val="20"/>
        </w:rPr>
        <w:t xml:space="preserve"> - 18</w:t>
      </w:r>
      <w:r>
        <w:rPr>
          <w:bCs/>
          <w:szCs w:val="20"/>
          <w:vertAlign w:val="superscript"/>
        </w:rPr>
        <w:t>th</w:t>
      </w:r>
      <w:r>
        <w:rPr>
          <w:bCs/>
          <w:szCs w:val="20"/>
        </w:rPr>
        <w:t>, 2024, 3GPP RAN1</w:t>
      </w:r>
    </w:p>
    <w:p>
      <w:pPr>
        <w:pStyle w:val="120"/>
        <w:spacing w:before="0" w:beforeLines="0" w:after="0" w:afterLines="0"/>
        <w:ind w:left="363" w:hanging="363"/>
        <w:rPr>
          <w:bCs/>
          <w:szCs w:val="20"/>
        </w:rPr>
      </w:pPr>
      <w:r>
        <w:rPr>
          <w:bCs/>
          <w:szCs w:val="20"/>
        </w:rPr>
        <w:t>Chair's Notes RAN1#116bis, April 15</w:t>
      </w:r>
      <w:r>
        <w:rPr>
          <w:bCs/>
          <w:szCs w:val="20"/>
          <w:vertAlign w:val="superscript"/>
        </w:rPr>
        <w:t>th</w:t>
      </w:r>
      <w:r>
        <w:rPr>
          <w:bCs/>
          <w:szCs w:val="20"/>
        </w:rPr>
        <w:t xml:space="preserve"> - 19</w:t>
      </w:r>
      <w:r>
        <w:rPr>
          <w:bCs/>
          <w:szCs w:val="20"/>
          <w:vertAlign w:val="superscript"/>
        </w:rPr>
        <w:t>th</w:t>
      </w:r>
      <w:r>
        <w:rPr>
          <w:bCs/>
          <w:szCs w:val="20"/>
        </w:rPr>
        <w:t>, 2024, 3GPP RAN1</w:t>
      </w:r>
      <w:bookmarkEnd w:id="15"/>
      <w:bookmarkEnd w:id="16"/>
    </w:p>
    <w:sectPr>
      <w:headerReference r:id="rId6" w:type="first"/>
      <w:footerReference r:id="rId9" w:type="first"/>
      <w:headerReference r:id="rId4" w:type="default"/>
      <w:footerReference r:id="rId7" w:type="default"/>
      <w:headerReference r:id="rId5" w:type="even"/>
      <w:footerReference r:id="rId8"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F129B"/>
    <w:multiLevelType w:val="multilevel"/>
    <w:tmpl w:val="83EF129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C9355433"/>
    <w:multiLevelType w:val="multilevel"/>
    <w:tmpl w:val="C9355433"/>
    <w:lvl w:ilvl="0" w:tentative="0">
      <w:start w:val="5"/>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4">
    <w:nsid w:val="060D3FFB"/>
    <w:multiLevelType w:val="multilevel"/>
    <w:tmpl w:val="060D3FFB"/>
    <w:lvl w:ilvl="0" w:tentative="0">
      <w:start w:val="1"/>
      <w:numFmt w:val="bullet"/>
      <w:pStyle w:val="8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A5341F7"/>
    <w:multiLevelType w:val="singleLevel"/>
    <w:tmpl w:val="0A5341F7"/>
    <w:lvl w:ilvl="0" w:tentative="0">
      <w:start w:val="1"/>
      <w:numFmt w:val="decimal"/>
      <w:pStyle w:val="135"/>
      <w:lvlText w:val="[%1]"/>
      <w:lvlJc w:val="left"/>
      <w:pPr>
        <w:tabs>
          <w:tab w:val="left" w:pos="567"/>
        </w:tabs>
        <w:ind w:left="567" w:hanging="567"/>
      </w:pPr>
      <w:rPr>
        <w:rFonts w:hint="default"/>
      </w:rPr>
    </w:lvl>
  </w:abstractNum>
  <w:abstractNum w:abstractNumId="6">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7">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8">
    <w:nsid w:val="415237D3"/>
    <w:multiLevelType w:val="multilevel"/>
    <w:tmpl w:val="41523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DAB4BB5"/>
    <w:multiLevelType w:val="multilevel"/>
    <w:tmpl w:val="4DAB4B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E7F165A"/>
    <w:multiLevelType w:val="multilevel"/>
    <w:tmpl w:val="4E7F16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C2716D6"/>
    <w:multiLevelType w:val="multilevel"/>
    <w:tmpl w:val="5C2716D6"/>
    <w:lvl w:ilvl="0" w:tentative="0">
      <w:start w:val="3"/>
      <w:numFmt w:val="bullet"/>
      <w:lvlText w:val="-"/>
      <w:lvlJc w:val="left"/>
      <w:pPr>
        <w:ind w:left="360" w:hanging="360"/>
      </w:pPr>
      <w:rPr>
        <w:rFonts w:hint="default" w:ascii="Nirmala UI" w:hAnsi="Nirmala UI" w:eastAsia="Aptos" w:cs="Nirmala UI"/>
        <w:i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5C7C46BA"/>
    <w:multiLevelType w:val="multilevel"/>
    <w:tmpl w:val="5C7C46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A133436"/>
    <w:multiLevelType w:val="multilevel"/>
    <w:tmpl w:val="6A1334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1AF2309"/>
    <w:multiLevelType w:val="multilevel"/>
    <w:tmpl w:val="71AF2309"/>
    <w:lvl w:ilvl="0" w:tentative="0">
      <w:start w:val="1"/>
      <w:numFmt w:val="bullet"/>
      <w:lvlText w:val=""/>
      <w:lvlJc w:val="left"/>
      <w:pPr>
        <w:ind w:left="360" w:hanging="360"/>
      </w:pPr>
      <w:rPr>
        <w:rFonts w:hint="default" w:ascii="Symbol" w:hAnsi="Symbol"/>
        <w:i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6"/>
  </w:num>
  <w:num w:numId="2">
    <w:abstractNumId w:val="1"/>
  </w:num>
  <w:num w:numId="3">
    <w:abstractNumId w:val="3"/>
  </w:num>
  <w:num w:numId="4">
    <w:abstractNumId w:val="4"/>
  </w:num>
  <w:num w:numId="5">
    <w:abstractNumId w:val="7"/>
  </w:num>
  <w:num w:numId="6">
    <w:abstractNumId w:val="5"/>
  </w:num>
  <w:num w:numId="7">
    <w:abstractNumId w:val="2"/>
  </w:num>
  <w:num w:numId="8">
    <w:abstractNumId w:val="8"/>
  </w:num>
  <w:num w:numId="9">
    <w:abstractNumId w:val="11"/>
  </w:num>
  <w:num w:numId="10">
    <w:abstractNumId w:val="0"/>
  </w:num>
  <w:num w:numId="11">
    <w:abstractNumId w:val="10"/>
  </w:num>
  <w:num w:numId="12">
    <w:abstractNumId w:val="13"/>
  </w:num>
  <w:num w:numId="13">
    <w:abstractNumId w:val="14"/>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420"/>
  <w:drawingGridHorizontalSpacing w:val="110"/>
  <w:characterSpacingControl w:val="doNotCompress"/>
  <w:footnotePr>
    <w:footnote w:id="0"/>
    <w:footnote w:id="1"/>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AE2"/>
    <w:rsid w:val="00002C2A"/>
    <w:rsid w:val="00002C89"/>
    <w:rsid w:val="00003197"/>
    <w:rsid w:val="00003238"/>
    <w:rsid w:val="0000323C"/>
    <w:rsid w:val="000034B7"/>
    <w:rsid w:val="0000385F"/>
    <w:rsid w:val="00003933"/>
    <w:rsid w:val="000039EF"/>
    <w:rsid w:val="00003B1A"/>
    <w:rsid w:val="00003BF1"/>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B5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78F"/>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AF"/>
    <w:rsid w:val="000213E7"/>
    <w:rsid w:val="00021825"/>
    <w:rsid w:val="000218FA"/>
    <w:rsid w:val="00021DB5"/>
    <w:rsid w:val="00021E00"/>
    <w:rsid w:val="000221D5"/>
    <w:rsid w:val="000222E3"/>
    <w:rsid w:val="000225C7"/>
    <w:rsid w:val="00022C10"/>
    <w:rsid w:val="00022E7C"/>
    <w:rsid w:val="00023019"/>
    <w:rsid w:val="000230B7"/>
    <w:rsid w:val="0002336F"/>
    <w:rsid w:val="00023399"/>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515"/>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342"/>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1FB2"/>
    <w:rsid w:val="00032258"/>
    <w:rsid w:val="000322B0"/>
    <w:rsid w:val="000323AD"/>
    <w:rsid w:val="000325A9"/>
    <w:rsid w:val="00032741"/>
    <w:rsid w:val="00032C97"/>
    <w:rsid w:val="000331E5"/>
    <w:rsid w:val="000332EA"/>
    <w:rsid w:val="00033454"/>
    <w:rsid w:val="000335D4"/>
    <w:rsid w:val="00033649"/>
    <w:rsid w:val="00033955"/>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893"/>
    <w:rsid w:val="00036AA0"/>
    <w:rsid w:val="00036AF1"/>
    <w:rsid w:val="00036B32"/>
    <w:rsid w:val="00036C63"/>
    <w:rsid w:val="00036C8E"/>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0F7E"/>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7E7"/>
    <w:rsid w:val="00046921"/>
    <w:rsid w:val="00046DE8"/>
    <w:rsid w:val="00046E90"/>
    <w:rsid w:val="00046EFA"/>
    <w:rsid w:val="00046F7F"/>
    <w:rsid w:val="00047274"/>
    <w:rsid w:val="00047351"/>
    <w:rsid w:val="00047363"/>
    <w:rsid w:val="00047533"/>
    <w:rsid w:val="00047681"/>
    <w:rsid w:val="00047795"/>
    <w:rsid w:val="00047816"/>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2F5C"/>
    <w:rsid w:val="00053024"/>
    <w:rsid w:val="000530F8"/>
    <w:rsid w:val="000531B6"/>
    <w:rsid w:val="00053587"/>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825"/>
    <w:rsid w:val="00057AC7"/>
    <w:rsid w:val="00057DA2"/>
    <w:rsid w:val="00057E13"/>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4D0"/>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38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068"/>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35E"/>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17"/>
    <w:rsid w:val="00075C3E"/>
    <w:rsid w:val="00075F4B"/>
    <w:rsid w:val="000762BC"/>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28"/>
    <w:rsid w:val="00080C4F"/>
    <w:rsid w:val="00080D67"/>
    <w:rsid w:val="00080E86"/>
    <w:rsid w:val="00080EE0"/>
    <w:rsid w:val="00080F6B"/>
    <w:rsid w:val="00081335"/>
    <w:rsid w:val="00081434"/>
    <w:rsid w:val="00081747"/>
    <w:rsid w:val="00081867"/>
    <w:rsid w:val="000818BD"/>
    <w:rsid w:val="00081ADF"/>
    <w:rsid w:val="00081CD1"/>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73D"/>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1DF"/>
    <w:rsid w:val="00092213"/>
    <w:rsid w:val="000924E7"/>
    <w:rsid w:val="00092581"/>
    <w:rsid w:val="000926F4"/>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7BF"/>
    <w:rsid w:val="00097A1D"/>
    <w:rsid w:val="000A0121"/>
    <w:rsid w:val="000A0279"/>
    <w:rsid w:val="000A0365"/>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070"/>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CFE"/>
    <w:rsid w:val="000A7FC3"/>
    <w:rsid w:val="000A7FCE"/>
    <w:rsid w:val="000B01BE"/>
    <w:rsid w:val="000B0608"/>
    <w:rsid w:val="000B093B"/>
    <w:rsid w:val="000B0953"/>
    <w:rsid w:val="000B0C9A"/>
    <w:rsid w:val="000B10D9"/>
    <w:rsid w:val="000B1203"/>
    <w:rsid w:val="000B18E5"/>
    <w:rsid w:val="000B1BC4"/>
    <w:rsid w:val="000B1CF8"/>
    <w:rsid w:val="000B1E72"/>
    <w:rsid w:val="000B2006"/>
    <w:rsid w:val="000B207B"/>
    <w:rsid w:val="000B23CE"/>
    <w:rsid w:val="000B2841"/>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0E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5E00"/>
    <w:rsid w:val="000C6415"/>
    <w:rsid w:val="000C64C0"/>
    <w:rsid w:val="000C6A81"/>
    <w:rsid w:val="000C6E60"/>
    <w:rsid w:val="000C6F96"/>
    <w:rsid w:val="000C744E"/>
    <w:rsid w:val="000C75EC"/>
    <w:rsid w:val="000C78F5"/>
    <w:rsid w:val="000C7A0C"/>
    <w:rsid w:val="000C7AE4"/>
    <w:rsid w:val="000C7DB0"/>
    <w:rsid w:val="000C7E35"/>
    <w:rsid w:val="000C7EFC"/>
    <w:rsid w:val="000D0C2E"/>
    <w:rsid w:val="000D11A2"/>
    <w:rsid w:val="000D121B"/>
    <w:rsid w:val="000D12C5"/>
    <w:rsid w:val="000D1629"/>
    <w:rsid w:val="000D1708"/>
    <w:rsid w:val="000D17D6"/>
    <w:rsid w:val="000D1947"/>
    <w:rsid w:val="000D1A6F"/>
    <w:rsid w:val="000D1B9D"/>
    <w:rsid w:val="000D1C94"/>
    <w:rsid w:val="000D211B"/>
    <w:rsid w:val="000D2943"/>
    <w:rsid w:val="000D2999"/>
    <w:rsid w:val="000D2B18"/>
    <w:rsid w:val="000D37BF"/>
    <w:rsid w:val="000D39F9"/>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4DA"/>
    <w:rsid w:val="000E1B71"/>
    <w:rsid w:val="000E1D9E"/>
    <w:rsid w:val="000E1E9A"/>
    <w:rsid w:val="000E1EB7"/>
    <w:rsid w:val="000E20C5"/>
    <w:rsid w:val="000E20DC"/>
    <w:rsid w:val="000E228D"/>
    <w:rsid w:val="000E2524"/>
    <w:rsid w:val="000E290F"/>
    <w:rsid w:val="000E29FF"/>
    <w:rsid w:val="000E2CD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7DC"/>
    <w:rsid w:val="000E49A6"/>
    <w:rsid w:val="000E4B60"/>
    <w:rsid w:val="000E4F3C"/>
    <w:rsid w:val="000E52D7"/>
    <w:rsid w:val="000E54D2"/>
    <w:rsid w:val="000E597D"/>
    <w:rsid w:val="000E5AFB"/>
    <w:rsid w:val="000E5B83"/>
    <w:rsid w:val="000E5CDE"/>
    <w:rsid w:val="000E5E02"/>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6"/>
    <w:rsid w:val="000F0169"/>
    <w:rsid w:val="000F0705"/>
    <w:rsid w:val="000F09A8"/>
    <w:rsid w:val="000F0A65"/>
    <w:rsid w:val="000F0AC6"/>
    <w:rsid w:val="000F0BFC"/>
    <w:rsid w:val="000F0C10"/>
    <w:rsid w:val="000F0DAF"/>
    <w:rsid w:val="000F12E2"/>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CC4"/>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034"/>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5EFC"/>
    <w:rsid w:val="00106037"/>
    <w:rsid w:val="00106699"/>
    <w:rsid w:val="00106F20"/>
    <w:rsid w:val="00107175"/>
    <w:rsid w:val="00107183"/>
    <w:rsid w:val="001071DF"/>
    <w:rsid w:val="00107565"/>
    <w:rsid w:val="001077B5"/>
    <w:rsid w:val="00107A48"/>
    <w:rsid w:val="00107ABA"/>
    <w:rsid w:val="00107BCF"/>
    <w:rsid w:val="00107BE0"/>
    <w:rsid w:val="00107DE3"/>
    <w:rsid w:val="00110087"/>
    <w:rsid w:val="00110103"/>
    <w:rsid w:val="0011025B"/>
    <w:rsid w:val="001102E6"/>
    <w:rsid w:val="00110925"/>
    <w:rsid w:val="00110E7D"/>
    <w:rsid w:val="0011123E"/>
    <w:rsid w:val="00111251"/>
    <w:rsid w:val="0011189E"/>
    <w:rsid w:val="00111A07"/>
    <w:rsid w:val="00111CE9"/>
    <w:rsid w:val="00111F32"/>
    <w:rsid w:val="001121E8"/>
    <w:rsid w:val="00112302"/>
    <w:rsid w:val="0011249E"/>
    <w:rsid w:val="001124F9"/>
    <w:rsid w:val="00112685"/>
    <w:rsid w:val="0011277E"/>
    <w:rsid w:val="00113305"/>
    <w:rsid w:val="00113B80"/>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11A0"/>
    <w:rsid w:val="00121695"/>
    <w:rsid w:val="00121798"/>
    <w:rsid w:val="001218EA"/>
    <w:rsid w:val="00122013"/>
    <w:rsid w:val="0012220D"/>
    <w:rsid w:val="0012253A"/>
    <w:rsid w:val="00122585"/>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326"/>
    <w:rsid w:val="00135588"/>
    <w:rsid w:val="00135612"/>
    <w:rsid w:val="001357BA"/>
    <w:rsid w:val="00135843"/>
    <w:rsid w:val="00135A0D"/>
    <w:rsid w:val="00135F0E"/>
    <w:rsid w:val="00135F8E"/>
    <w:rsid w:val="00135FD8"/>
    <w:rsid w:val="0013614D"/>
    <w:rsid w:val="001361A8"/>
    <w:rsid w:val="00136342"/>
    <w:rsid w:val="00136AB0"/>
    <w:rsid w:val="00136FA8"/>
    <w:rsid w:val="0013709F"/>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2C1C"/>
    <w:rsid w:val="00143003"/>
    <w:rsid w:val="00143421"/>
    <w:rsid w:val="001438EF"/>
    <w:rsid w:val="0014396C"/>
    <w:rsid w:val="00143BF0"/>
    <w:rsid w:val="00143EDB"/>
    <w:rsid w:val="00143F3F"/>
    <w:rsid w:val="00143FB6"/>
    <w:rsid w:val="00144384"/>
    <w:rsid w:val="00144606"/>
    <w:rsid w:val="00144662"/>
    <w:rsid w:val="00144E5F"/>
    <w:rsid w:val="00144FB2"/>
    <w:rsid w:val="00145449"/>
    <w:rsid w:val="001455AD"/>
    <w:rsid w:val="0014596A"/>
    <w:rsid w:val="00145A0C"/>
    <w:rsid w:val="00145A5F"/>
    <w:rsid w:val="00145D1E"/>
    <w:rsid w:val="00145D53"/>
    <w:rsid w:val="00145EF6"/>
    <w:rsid w:val="001464E6"/>
    <w:rsid w:val="001464F0"/>
    <w:rsid w:val="001468E8"/>
    <w:rsid w:val="00146A3E"/>
    <w:rsid w:val="00146DBA"/>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EF9"/>
    <w:rsid w:val="00150F77"/>
    <w:rsid w:val="00150FC7"/>
    <w:rsid w:val="00151563"/>
    <w:rsid w:val="00151699"/>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D0F"/>
    <w:rsid w:val="00160036"/>
    <w:rsid w:val="001602BF"/>
    <w:rsid w:val="0016043D"/>
    <w:rsid w:val="00160639"/>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2E1"/>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4A7F"/>
    <w:rsid w:val="0017527A"/>
    <w:rsid w:val="001752E2"/>
    <w:rsid w:val="0017554E"/>
    <w:rsid w:val="001755E3"/>
    <w:rsid w:val="001758FE"/>
    <w:rsid w:val="00175977"/>
    <w:rsid w:val="00175B8D"/>
    <w:rsid w:val="00175CF2"/>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22B"/>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2EC5"/>
    <w:rsid w:val="00183098"/>
    <w:rsid w:val="001831A6"/>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C2"/>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D92"/>
    <w:rsid w:val="00195F55"/>
    <w:rsid w:val="00196339"/>
    <w:rsid w:val="00196639"/>
    <w:rsid w:val="0019675D"/>
    <w:rsid w:val="001967D5"/>
    <w:rsid w:val="00196C9D"/>
    <w:rsid w:val="00196E40"/>
    <w:rsid w:val="00196EF1"/>
    <w:rsid w:val="0019730B"/>
    <w:rsid w:val="001973AF"/>
    <w:rsid w:val="0019764F"/>
    <w:rsid w:val="00197C4B"/>
    <w:rsid w:val="00197CBE"/>
    <w:rsid w:val="00197E43"/>
    <w:rsid w:val="00197FF8"/>
    <w:rsid w:val="001A0173"/>
    <w:rsid w:val="001A0301"/>
    <w:rsid w:val="001A03C0"/>
    <w:rsid w:val="001A0BF9"/>
    <w:rsid w:val="001A0CAB"/>
    <w:rsid w:val="001A0E97"/>
    <w:rsid w:val="001A11AE"/>
    <w:rsid w:val="001A17B1"/>
    <w:rsid w:val="001A184B"/>
    <w:rsid w:val="001A18F3"/>
    <w:rsid w:val="001A19AE"/>
    <w:rsid w:val="001A1A0D"/>
    <w:rsid w:val="001A22A6"/>
    <w:rsid w:val="001A26B2"/>
    <w:rsid w:val="001A26FC"/>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A53"/>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8E"/>
    <w:rsid w:val="001B21D1"/>
    <w:rsid w:val="001B2367"/>
    <w:rsid w:val="001B24AE"/>
    <w:rsid w:val="001B294F"/>
    <w:rsid w:val="001B2DA1"/>
    <w:rsid w:val="001B3283"/>
    <w:rsid w:val="001B3288"/>
    <w:rsid w:val="001B354F"/>
    <w:rsid w:val="001B35CD"/>
    <w:rsid w:val="001B3787"/>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3CD"/>
    <w:rsid w:val="001B5430"/>
    <w:rsid w:val="001B553D"/>
    <w:rsid w:val="001B5ADA"/>
    <w:rsid w:val="001B5EBE"/>
    <w:rsid w:val="001B5F20"/>
    <w:rsid w:val="001B612C"/>
    <w:rsid w:val="001B6331"/>
    <w:rsid w:val="001B6CF6"/>
    <w:rsid w:val="001B6DA5"/>
    <w:rsid w:val="001B6F5C"/>
    <w:rsid w:val="001B778F"/>
    <w:rsid w:val="001B77FA"/>
    <w:rsid w:val="001B797E"/>
    <w:rsid w:val="001B79BF"/>
    <w:rsid w:val="001B7A4E"/>
    <w:rsid w:val="001B7AD4"/>
    <w:rsid w:val="001B7BEA"/>
    <w:rsid w:val="001C0017"/>
    <w:rsid w:val="001C0293"/>
    <w:rsid w:val="001C04CA"/>
    <w:rsid w:val="001C05C7"/>
    <w:rsid w:val="001C0647"/>
    <w:rsid w:val="001C0763"/>
    <w:rsid w:val="001C0780"/>
    <w:rsid w:val="001C098D"/>
    <w:rsid w:val="001C0A47"/>
    <w:rsid w:val="001C0B48"/>
    <w:rsid w:val="001C0CDA"/>
    <w:rsid w:val="001C0D92"/>
    <w:rsid w:val="001C0F92"/>
    <w:rsid w:val="001C127E"/>
    <w:rsid w:val="001C1371"/>
    <w:rsid w:val="001C13B0"/>
    <w:rsid w:val="001C167D"/>
    <w:rsid w:val="001C198C"/>
    <w:rsid w:val="001C1A0E"/>
    <w:rsid w:val="001C1B53"/>
    <w:rsid w:val="001C1C09"/>
    <w:rsid w:val="001C200D"/>
    <w:rsid w:val="001C2059"/>
    <w:rsid w:val="001C2098"/>
    <w:rsid w:val="001C24B4"/>
    <w:rsid w:val="001C24CB"/>
    <w:rsid w:val="001C27C2"/>
    <w:rsid w:val="001C2E9C"/>
    <w:rsid w:val="001C2FD5"/>
    <w:rsid w:val="001C34B2"/>
    <w:rsid w:val="001C358B"/>
    <w:rsid w:val="001C364D"/>
    <w:rsid w:val="001C3764"/>
    <w:rsid w:val="001C381E"/>
    <w:rsid w:val="001C395C"/>
    <w:rsid w:val="001C3AC5"/>
    <w:rsid w:val="001C3BF0"/>
    <w:rsid w:val="001C3DED"/>
    <w:rsid w:val="001C403F"/>
    <w:rsid w:val="001C4064"/>
    <w:rsid w:val="001C43BD"/>
    <w:rsid w:val="001C4597"/>
    <w:rsid w:val="001C4ABB"/>
    <w:rsid w:val="001C4B19"/>
    <w:rsid w:val="001C4F71"/>
    <w:rsid w:val="001C51D6"/>
    <w:rsid w:val="001C5282"/>
    <w:rsid w:val="001C53DC"/>
    <w:rsid w:val="001C5467"/>
    <w:rsid w:val="001C5468"/>
    <w:rsid w:val="001C5953"/>
    <w:rsid w:val="001C5974"/>
    <w:rsid w:val="001C5A65"/>
    <w:rsid w:val="001C5CFB"/>
    <w:rsid w:val="001C5D18"/>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2B"/>
    <w:rsid w:val="001D0969"/>
    <w:rsid w:val="001D0AFA"/>
    <w:rsid w:val="001D0D46"/>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98E"/>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E7FDD"/>
    <w:rsid w:val="001F010B"/>
    <w:rsid w:val="001F01FC"/>
    <w:rsid w:val="001F0224"/>
    <w:rsid w:val="001F0240"/>
    <w:rsid w:val="001F04A7"/>
    <w:rsid w:val="001F07D2"/>
    <w:rsid w:val="001F09FC"/>
    <w:rsid w:val="001F0A4C"/>
    <w:rsid w:val="001F0E75"/>
    <w:rsid w:val="001F1161"/>
    <w:rsid w:val="001F12C8"/>
    <w:rsid w:val="001F1425"/>
    <w:rsid w:val="001F14A1"/>
    <w:rsid w:val="001F1AE0"/>
    <w:rsid w:val="001F21A7"/>
    <w:rsid w:val="001F23CF"/>
    <w:rsid w:val="001F251F"/>
    <w:rsid w:val="001F2742"/>
    <w:rsid w:val="001F28BB"/>
    <w:rsid w:val="001F29FA"/>
    <w:rsid w:val="001F2AD7"/>
    <w:rsid w:val="001F2D6D"/>
    <w:rsid w:val="001F2E19"/>
    <w:rsid w:val="001F30E5"/>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B1F"/>
    <w:rsid w:val="001F5C3E"/>
    <w:rsid w:val="001F61A3"/>
    <w:rsid w:val="001F61CF"/>
    <w:rsid w:val="001F642F"/>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33C"/>
    <w:rsid w:val="002044E4"/>
    <w:rsid w:val="0020468A"/>
    <w:rsid w:val="002049FA"/>
    <w:rsid w:val="00204EBE"/>
    <w:rsid w:val="00204EE8"/>
    <w:rsid w:val="002053FA"/>
    <w:rsid w:val="00205C1A"/>
    <w:rsid w:val="00205E8D"/>
    <w:rsid w:val="00205FF6"/>
    <w:rsid w:val="0020611C"/>
    <w:rsid w:val="00206570"/>
    <w:rsid w:val="00206839"/>
    <w:rsid w:val="00206CB4"/>
    <w:rsid w:val="002074FE"/>
    <w:rsid w:val="00207603"/>
    <w:rsid w:val="00207855"/>
    <w:rsid w:val="00207908"/>
    <w:rsid w:val="00207AEF"/>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6E3"/>
    <w:rsid w:val="00211AD6"/>
    <w:rsid w:val="00211CEC"/>
    <w:rsid w:val="00211F20"/>
    <w:rsid w:val="002122C1"/>
    <w:rsid w:val="002122F2"/>
    <w:rsid w:val="002122F3"/>
    <w:rsid w:val="00212432"/>
    <w:rsid w:val="00212467"/>
    <w:rsid w:val="002124EA"/>
    <w:rsid w:val="002129CC"/>
    <w:rsid w:val="002129F1"/>
    <w:rsid w:val="00212C2B"/>
    <w:rsid w:val="002131C8"/>
    <w:rsid w:val="002132B6"/>
    <w:rsid w:val="002133F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582"/>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1A6"/>
    <w:rsid w:val="00225669"/>
    <w:rsid w:val="002256C9"/>
    <w:rsid w:val="00225AF4"/>
    <w:rsid w:val="00225E4E"/>
    <w:rsid w:val="00226097"/>
    <w:rsid w:val="002261C0"/>
    <w:rsid w:val="002268E2"/>
    <w:rsid w:val="002268F2"/>
    <w:rsid w:val="00226CE8"/>
    <w:rsid w:val="00226CFD"/>
    <w:rsid w:val="00226F36"/>
    <w:rsid w:val="00227BA0"/>
    <w:rsid w:val="00227D9B"/>
    <w:rsid w:val="002308D8"/>
    <w:rsid w:val="00230D90"/>
    <w:rsid w:val="0023129E"/>
    <w:rsid w:val="002312D9"/>
    <w:rsid w:val="00231378"/>
    <w:rsid w:val="00231A63"/>
    <w:rsid w:val="00231AD1"/>
    <w:rsid w:val="00231AE2"/>
    <w:rsid w:val="00231BE4"/>
    <w:rsid w:val="00231C1E"/>
    <w:rsid w:val="00231C66"/>
    <w:rsid w:val="00231CEB"/>
    <w:rsid w:val="00231D72"/>
    <w:rsid w:val="00231D79"/>
    <w:rsid w:val="00232111"/>
    <w:rsid w:val="0023213B"/>
    <w:rsid w:val="002324B0"/>
    <w:rsid w:val="0023265A"/>
    <w:rsid w:val="00232AAF"/>
    <w:rsid w:val="00232C4F"/>
    <w:rsid w:val="00232CC6"/>
    <w:rsid w:val="00232D9A"/>
    <w:rsid w:val="00232F8D"/>
    <w:rsid w:val="0023314C"/>
    <w:rsid w:val="0023314D"/>
    <w:rsid w:val="002331E4"/>
    <w:rsid w:val="00233257"/>
    <w:rsid w:val="00233488"/>
    <w:rsid w:val="00233492"/>
    <w:rsid w:val="00233526"/>
    <w:rsid w:val="002335E5"/>
    <w:rsid w:val="002336CE"/>
    <w:rsid w:val="002336E5"/>
    <w:rsid w:val="002336EC"/>
    <w:rsid w:val="00233766"/>
    <w:rsid w:val="00233B50"/>
    <w:rsid w:val="00233C47"/>
    <w:rsid w:val="00233D0F"/>
    <w:rsid w:val="0023410E"/>
    <w:rsid w:val="0023427F"/>
    <w:rsid w:val="00234478"/>
    <w:rsid w:val="0023458A"/>
    <w:rsid w:val="0023461D"/>
    <w:rsid w:val="00234702"/>
    <w:rsid w:val="00234B42"/>
    <w:rsid w:val="00234D9C"/>
    <w:rsid w:val="00234F1B"/>
    <w:rsid w:val="00234FBE"/>
    <w:rsid w:val="002351D8"/>
    <w:rsid w:val="0023549C"/>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D17"/>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67A"/>
    <w:rsid w:val="00247B60"/>
    <w:rsid w:val="00247CE7"/>
    <w:rsid w:val="00247D12"/>
    <w:rsid w:val="00247DAA"/>
    <w:rsid w:val="00247DEA"/>
    <w:rsid w:val="00247DF0"/>
    <w:rsid w:val="00247F83"/>
    <w:rsid w:val="00250102"/>
    <w:rsid w:val="00250170"/>
    <w:rsid w:val="00250404"/>
    <w:rsid w:val="0025053C"/>
    <w:rsid w:val="00250877"/>
    <w:rsid w:val="002508B6"/>
    <w:rsid w:val="002509C9"/>
    <w:rsid w:val="00250A6E"/>
    <w:rsid w:val="00250C01"/>
    <w:rsid w:val="00250C2C"/>
    <w:rsid w:val="00250DAA"/>
    <w:rsid w:val="00250E1B"/>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81"/>
    <w:rsid w:val="00255D93"/>
    <w:rsid w:val="00255E19"/>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5E"/>
    <w:rsid w:val="00261E99"/>
    <w:rsid w:val="002620E5"/>
    <w:rsid w:val="00262202"/>
    <w:rsid w:val="0026240D"/>
    <w:rsid w:val="002624BD"/>
    <w:rsid w:val="0026265B"/>
    <w:rsid w:val="00262693"/>
    <w:rsid w:val="00262973"/>
    <w:rsid w:val="00262A86"/>
    <w:rsid w:val="00262ED0"/>
    <w:rsid w:val="0026308B"/>
    <w:rsid w:val="00263355"/>
    <w:rsid w:val="002634C3"/>
    <w:rsid w:val="002635CA"/>
    <w:rsid w:val="002637B5"/>
    <w:rsid w:val="00263D44"/>
    <w:rsid w:val="00263DBA"/>
    <w:rsid w:val="00263F07"/>
    <w:rsid w:val="00264561"/>
    <w:rsid w:val="00264C6B"/>
    <w:rsid w:val="00264C79"/>
    <w:rsid w:val="00264D37"/>
    <w:rsid w:val="00264EA6"/>
    <w:rsid w:val="00264F09"/>
    <w:rsid w:val="00264F20"/>
    <w:rsid w:val="00264F40"/>
    <w:rsid w:val="00265214"/>
    <w:rsid w:val="00265753"/>
    <w:rsid w:val="00265977"/>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141"/>
    <w:rsid w:val="00270491"/>
    <w:rsid w:val="002704F1"/>
    <w:rsid w:val="00270538"/>
    <w:rsid w:val="00270724"/>
    <w:rsid w:val="0027086D"/>
    <w:rsid w:val="00270C18"/>
    <w:rsid w:val="00270DA4"/>
    <w:rsid w:val="00270DAA"/>
    <w:rsid w:val="00270EFA"/>
    <w:rsid w:val="00270FDE"/>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BB3"/>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590"/>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6EB3"/>
    <w:rsid w:val="0028727D"/>
    <w:rsid w:val="002872F0"/>
    <w:rsid w:val="00287693"/>
    <w:rsid w:val="002876B3"/>
    <w:rsid w:val="00287959"/>
    <w:rsid w:val="00287B6A"/>
    <w:rsid w:val="00287C7E"/>
    <w:rsid w:val="00287D3B"/>
    <w:rsid w:val="0029056E"/>
    <w:rsid w:val="002906DC"/>
    <w:rsid w:val="00290B90"/>
    <w:rsid w:val="00290D5E"/>
    <w:rsid w:val="0029112B"/>
    <w:rsid w:val="002916DC"/>
    <w:rsid w:val="00291848"/>
    <w:rsid w:val="0029184B"/>
    <w:rsid w:val="00291FD5"/>
    <w:rsid w:val="00292016"/>
    <w:rsid w:val="00292038"/>
    <w:rsid w:val="00292685"/>
    <w:rsid w:val="002926A8"/>
    <w:rsid w:val="00292841"/>
    <w:rsid w:val="00292A6B"/>
    <w:rsid w:val="00292A73"/>
    <w:rsid w:val="00292BEE"/>
    <w:rsid w:val="00292C6D"/>
    <w:rsid w:val="00292CFA"/>
    <w:rsid w:val="00292D55"/>
    <w:rsid w:val="00292E06"/>
    <w:rsid w:val="00292E12"/>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E20"/>
    <w:rsid w:val="00295E27"/>
    <w:rsid w:val="00295F0E"/>
    <w:rsid w:val="00296095"/>
    <w:rsid w:val="00296233"/>
    <w:rsid w:val="0029623A"/>
    <w:rsid w:val="002963F2"/>
    <w:rsid w:val="002965EA"/>
    <w:rsid w:val="002965F8"/>
    <w:rsid w:val="002967F3"/>
    <w:rsid w:val="002968BC"/>
    <w:rsid w:val="00296A41"/>
    <w:rsid w:val="00296CD1"/>
    <w:rsid w:val="00296E30"/>
    <w:rsid w:val="00296F66"/>
    <w:rsid w:val="00297100"/>
    <w:rsid w:val="0029725E"/>
    <w:rsid w:val="002974A3"/>
    <w:rsid w:val="002974E7"/>
    <w:rsid w:val="0029757C"/>
    <w:rsid w:val="0029783B"/>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2D"/>
    <w:rsid w:val="002A5752"/>
    <w:rsid w:val="002A576B"/>
    <w:rsid w:val="002A57BE"/>
    <w:rsid w:val="002A5A9F"/>
    <w:rsid w:val="002A5AA9"/>
    <w:rsid w:val="002A5AC5"/>
    <w:rsid w:val="002A5B73"/>
    <w:rsid w:val="002A5E9E"/>
    <w:rsid w:val="002A64D5"/>
    <w:rsid w:val="002A69D7"/>
    <w:rsid w:val="002A6F4F"/>
    <w:rsid w:val="002A70E7"/>
    <w:rsid w:val="002A7AB3"/>
    <w:rsid w:val="002A7C12"/>
    <w:rsid w:val="002A7D65"/>
    <w:rsid w:val="002A7E40"/>
    <w:rsid w:val="002A7EEE"/>
    <w:rsid w:val="002B0139"/>
    <w:rsid w:val="002B05C8"/>
    <w:rsid w:val="002B081A"/>
    <w:rsid w:val="002B0A36"/>
    <w:rsid w:val="002B0A94"/>
    <w:rsid w:val="002B0BB9"/>
    <w:rsid w:val="002B0BF5"/>
    <w:rsid w:val="002B0D71"/>
    <w:rsid w:val="002B1231"/>
    <w:rsid w:val="002B13D9"/>
    <w:rsid w:val="002B1461"/>
    <w:rsid w:val="002B147C"/>
    <w:rsid w:val="002B14A4"/>
    <w:rsid w:val="002B183D"/>
    <w:rsid w:val="002B1A0C"/>
    <w:rsid w:val="002B1A21"/>
    <w:rsid w:val="002B1DA6"/>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4D1"/>
    <w:rsid w:val="002B592C"/>
    <w:rsid w:val="002B5D42"/>
    <w:rsid w:val="002B5DCF"/>
    <w:rsid w:val="002B5F34"/>
    <w:rsid w:val="002B5F85"/>
    <w:rsid w:val="002B63F0"/>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66E"/>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6A2"/>
    <w:rsid w:val="002C47DB"/>
    <w:rsid w:val="002C47EF"/>
    <w:rsid w:val="002C4ACA"/>
    <w:rsid w:val="002C4AF4"/>
    <w:rsid w:val="002C4BCE"/>
    <w:rsid w:val="002C4CA2"/>
    <w:rsid w:val="002C4DD3"/>
    <w:rsid w:val="002C4E83"/>
    <w:rsid w:val="002C4F87"/>
    <w:rsid w:val="002C5958"/>
    <w:rsid w:val="002C5D5A"/>
    <w:rsid w:val="002C6087"/>
    <w:rsid w:val="002C6145"/>
    <w:rsid w:val="002C6359"/>
    <w:rsid w:val="002C64A1"/>
    <w:rsid w:val="002C65C8"/>
    <w:rsid w:val="002C6626"/>
    <w:rsid w:val="002C6870"/>
    <w:rsid w:val="002C6A72"/>
    <w:rsid w:val="002C6B21"/>
    <w:rsid w:val="002C6B23"/>
    <w:rsid w:val="002C6B8B"/>
    <w:rsid w:val="002C6D68"/>
    <w:rsid w:val="002C6EF1"/>
    <w:rsid w:val="002C75D0"/>
    <w:rsid w:val="002C7ACC"/>
    <w:rsid w:val="002D0530"/>
    <w:rsid w:val="002D0AA0"/>
    <w:rsid w:val="002D0AAB"/>
    <w:rsid w:val="002D0AD3"/>
    <w:rsid w:val="002D0DC3"/>
    <w:rsid w:val="002D11B1"/>
    <w:rsid w:val="002D11E1"/>
    <w:rsid w:val="002D1563"/>
    <w:rsid w:val="002D1F53"/>
    <w:rsid w:val="002D1FD8"/>
    <w:rsid w:val="002D20CB"/>
    <w:rsid w:val="002D213A"/>
    <w:rsid w:val="002D2261"/>
    <w:rsid w:val="002D230A"/>
    <w:rsid w:val="002D2505"/>
    <w:rsid w:val="002D27A9"/>
    <w:rsid w:val="002D2A77"/>
    <w:rsid w:val="002D2D4C"/>
    <w:rsid w:val="002D2EB2"/>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DDC"/>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3FF"/>
    <w:rsid w:val="002E28EB"/>
    <w:rsid w:val="002E290F"/>
    <w:rsid w:val="002E292D"/>
    <w:rsid w:val="002E2943"/>
    <w:rsid w:val="002E29A7"/>
    <w:rsid w:val="002E2CFF"/>
    <w:rsid w:val="002E2F72"/>
    <w:rsid w:val="002E2FDC"/>
    <w:rsid w:val="002E30FF"/>
    <w:rsid w:val="002E323B"/>
    <w:rsid w:val="002E325B"/>
    <w:rsid w:val="002E345D"/>
    <w:rsid w:val="002E34AB"/>
    <w:rsid w:val="002E34E1"/>
    <w:rsid w:val="002E3842"/>
    <w:rsid w:val="002E3D53"/>
    <w:rsid w:val="002E3E73"/>
    <w:rsid w:val="002E42C8"/>
    <w:rsid w:val="002E4398"/>
    <w:rsid w:val="002E468F"/>
    <w:rsid w:val="002E4AB8"/>
    <w:rsid w:val="002E4E10"/>
    <w:rsid w:val="002E5453"/>
    <w:rsid w:val="002E57DB"/>
    <w:rsid w:val="002E57F0"/>
    <w:rsid w:val="002E58D1"/>
    <w:rsid w:val="002E5A3B"/>
    <w:rsid w:val="002E5E0B"/>
    <w:rsid w:val="002E5F34"/>
    <w:rsid w:val="002E5FF3"/>
    <w:rsid w:val="002E612D"/>
    <w:rsid w:val="002E64AC"/>
    <w:rsid w:val="002E64E2"/>
    <w:rsid w:val="002E65CD"/>
    <w:rsid w:val="002E68BD"/>
    <w:rsid w:val="002E6E4D"/>
    <w:rsid w:val="002E6E72"/>
    <w:rsid w:val="002E6FD2"/>
    <w:rsid w:val="002E7056"/>
    <w:rsid w:val="002E733D"/>
    <w:rsid w:val="002E79FA"/>
    <w:rsid w:val="002F0052"/>
    <w:rsid w:val="002F0222"/>
    <w:rsid w:val="002F049D"/>
    <w:rsid w:val="002F04FE"/>
    <w:rsid w:val="002F055A"/>
    <w:rsid w:val="002F0C48"/>
    <w:rsid w:val="002F16E2"/>
    <w:rsid w:val="002F17BA"/>
    <w:rsid w:val="002F185A"/>
    <w:rsid w:val="002F1E2F"/>
    <w:rsid w:val="002F1F43"/>
    <w:rsid w:val="002F1FAD"/>
    <w:rsid w:val="002F2642"/>
    <w:rsid w:val="002F2BE4"/>
    <w:rsid w:val="002F2CF7"/>
    <w:rsid w:val="002F2E5C"/>
    <w:rsid w:val="002F2F4A"/>
    <w:rsid w:val="002F3376"/>
    <w:rsid w:val="002F3461"/>
    <w:rsid w:val="002F3478"/>
    <w:rsid w:val="002F3492"/>
    <w:rsid w:val="002F397E"/>
    <w:rsid w:val="002F3A24"/>
    <w:rsid w:val="002F3BD8"/>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BC"/>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53A"/>
    <w:rsid w:val="003028AF"/>
    <w:rsid w:val="00302DD7"/>
    <w:rsid w:val="003034D5"/>
    <w:rsid w:val="003037C8"/>
    <w:rsid w:val="003037E8"/>
    <w:rsid w:val="00303FEB"/>
    <w:rsid w:val="0030419A"/>
    <w:rsid w:val="00304262"/>
    <w:rsid w:val="0030426D"/>
    <w:rsid w:val="003042EE"/>
    <w:rsid w:val="003044D6"/>
    <w:rsid w:val="003046A5"/>
    <w:rsid w:val="003048C8"/>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28"/>
    <w:rsid w:val="0031083D"/>
    <w:rsid w:val="00310B7A"/>
    <w:rsid w:val="00310CF1"/>
    <w:rsid w:val="00310D7E"/>
    <w:rsid w:val="00310E4E"/>
    <w:rsid w:val="00310EBF"/>
    <w:rsid w:val="00310FD6"/>
    <w:rsid w:val="00311121"/>
    <w:rsid w:val="003112CD"/>
    <w:rsid w:val="003112DF"/>
    <w:rsid w:val="00311400"/>
    <w:rsid w:val="0031141C"/>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2EF"/>
    <w:rsid w:val="0031648B"/>
    <w:rsid w:val="003166AE"/>
    <w:rsid w:val="00316723"/>
    <w:rsid w:val="003167CD"/>
    <w:rsid w:val="00316C05"/>
    <w:rsid w:val="00316DDE"/>
    <w:rsid w:val="00317021"/>
    <w:rsid w:val="0031716E"/>
    <w:rsid w:val="00317198"/>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43C"/>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7AC"/>
    <w:rsid w:val="00325974"/>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0D3"/>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4DD"/>
    <w:rsid w:val="00337526"/>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84A"/>
    <w:rsid w:val="00340A3C"/>
    <w:rsid w:val="00340B05"/>
    <w:rsid w:val="00340B6F"/>
    <w:rsid w:val="00340C5E"/>
    <w:rsid w:val="00340CCD"/>
    <w:rsid w:val="00340FCA"/>
    <w:rsid w:val="00341118"/>
    <w:rsid w:val="003411DE"/>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40"/>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19"/>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2F82"/>
    <w:rsid w:val="003534D6"/>
    <w:rsid w:val="00353542"/>
    <w:rsid w:val="003536B9"/>
    <w:rsid w:val="00353729"/>
    <w:rsid w:val="003539A0"/>
    <w:rsid w:val="00353C3E"/>
    <w:rsid w:val="00353CAD"/>
    <w:rsid w:val="00353DCC"/>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2CC"/>
    <w:rsid w:val="003573EB"/>
    <w:rsid w:val="00357544"/>
    <w:rsid w:val="00357AF6"/>
    <w:rsid w:val="00357E24"/>
    <w:rsid w:val="00357EF2"/>
    <w:rsid w:val="00360155"/>
    <w:rsid w:val="00360272"/>
    <w:rsid w:val="00360332"/>
    <w:rsid w:val="00360477"/>
    <w:rsid w:val="003604BC"/>
    <w:rsid w:val="0036056D"/>
    <w:rsid w:val="0036062D"/>
    <w:rsid w:val="003606BF"/>
    <w:rsid w:val="0036097D"/>
    <w:rsid w:val="00360D5D"/>
    <w:rsid w:val="00361006"/>
    <w:rsid w:val="00361163"/>
    <w:rsid w:val="0036128C"/>
    <w:rsid w:val="00361C30"/>
    <w:rsid w:val="003620FE"/>
    <w:rsid w:val="0036213C"/>
    <w:rsid w:val="00362A7E"/>
    <w:rsid w:val="00362D3F"/>
    <w:rsid w:val="00362E6D"/>
    <w:rsid w:val="00363216"/>
    <w:rsid w:val="003632D5"/>
    <w:rsid w:val="0036355F"/>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6FD3"/>
    <w:rsid w:val="0036700A"/>
    <w:rsid w:val="003670D7"/>
    <w:rsid w:val="00367107"/>
    <w:rsid w:val="00367192"/>
    <w:rsid w:val="003674E5"/>
    <w:rsid w:val="00367B99"/>
    <w:rsid w:val="00367E27"/>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27"/>
    <w:rsid w:val="0037480A"/>
    <w:rsid w:val="00374834"/>
    <w:rsid w:val="00374856"/>
    <w:rsid w:val="003749BD"/>
    <w:rsid w:val="00374C25"/>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2E32"/>
    <w:rsid w:val="0038300A"/>
    <w:rsid w:val="00383805"/>
    <w:rsid w:val="00383C01"/>
    <w:rsid w:val="00383CFF"/>
    <w:rsid w:val="003840EF"/>
    <w:rsid w:val="003842AA"/>
    <w:rsid w:val="003842D0"/>
    <w:rsid w:val="003843E2"/>
    <w:rsid w:val="00384687"/>
    <w:rsid w:val="00384AA0"/>
    <w:rsid w:val="00384CA8"/>
    <w:rsid w:val="00384EBB"/>
    <w:rsid w:val="00385031"/>
    <w:rsid w:val="00385102"/>
    <w:rsid w:val="00385259"/>
    <w:rsid w:val="00385418"/>
    <w:rsid w:val="00385437"/>
    <w:rsid w:val="00385741"/>
    <w:rsid w:val="0038582F"/>
    <w:rsid w:val="00385CFF"/>
    <w:rsid w:val="00385D9A"/>
    <w:rsid w:val="00385E2A"/>
    <w:rsid w:val="00385EBA"/>
    <w:rsid w:val="00386117"/>
    <w:rsid w:val="003868FF"/>
    <w:rsid w:val="00386B47"/>
    <w:rsid w:val="00386DBD"/>
    <w:rsid w:val="00386F57"/>
    <w:rsid w:val="0038718C"/>
    <w:rsid w:val="00387224"/>
    <w:rsid w:val="003874D3"/>
    <w:rsid w:val="003875CF"/>
    <w:rsid w:val="003877FA"/>
    <w:rsid w:val="003878DD"/>
    <w:rsid w:val="00387A3F"/>
    <w:rsid w:val="00387AAB"/>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3E"/>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C5"/>
    <w:rsid w:val="003976D9"/>
    <w:rsid w:val="00397975"/>
    <w:rsid w:val="00397BC7"/>
    <w:rsid w:val="003A01EF"/>
    <w:rsid w:val="003A02D7"/>
    <w:rsid w:val="003A0435"/>
    <w:rsid w:val="003A063F"/>
    <w:rsid w:val="003A0775"/>
    <w:rsid w:val="003A09D6"/>
    <w:rsid w:val="003A0A6C"/>
    <w:rsid w:val="003A0F63"/>
    <w:rsid w:val="003A1072"/>
    <w:rsid w:val="003A11C1"/>
    <w:rsid w:val="003A1363"/>
    <w:rsid w:val="003A15ED"/>
    <w:rsid w:val="003A15F0"/>
    <w:rsid w:val="003A16F3"/>
    <w:rsid w:val="003A1C9E"/>
    <w:rsid w:val="003A1E09"/>
    <w:rsid w:val="003A1E5D"/>
    <w:rsid w:val="003A2007"/>
    <w:rsid w:val="003A20D4"/>
    <w:rsid w:val="003A2543"/>
    <w:rsid w:val="003A259D"/>
    <w:rsid w:val="003A2811"/>
    <w:rsid w:val="003A2980"/>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2D1"/>
    <w:rsid w:val="003B0421"/>
    <w:rsid w:val="003B0632"/>
    <w:rsid w:val="003B08B0"/>
    <w:rsid w:val="003B0926"/>
    <w:rsid w:val="003B0D16"/>
    <w:rsid w:val="003B11CE"/>
    <w:rsid w:val="003B13C3"/>
    <w:rsid w:val="003B15B2"/>
    <w:rsid w:val="003B15EB"/>
    <w:rsid w:val="003B1625"/>
    <w:rsid w:val="003B17EA"/>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812"/>
    <w:rsid w:val="003B39F3"/>
    <w:rsid w:val="003B3A12"/>
    <w:rsid w:val="003B3EF1"/>
    <w:rsid w:val="003B3F57"/>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D76"/>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6F7"/>
    <w:rsid w:val="003D6883"/>
    <w:rsid w:val="003D694D"/>
    <w:rsid w:val="003D69A8"/>
    <w:rsid w:val="003D6DDE"/>
    <w:rsid w:val="003D6E73"/>
    <w:rsid w:val="003D6F92"/>
    <w:rsid w:val="003D7049"/>
    <w:rsid w:val="003D74CC"/>
    <w:rsid w:val="003D7522"/>
    <w:rsid w:val="003D78F2"/>
    <w:rsid w:val="003E0199"/>
    <w:rsid w:val="003E0358"/>
    <w:rsid w:val="003E0374"/>
    <w:rsid w:val="003E0ADC"/>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671"/>
    <w:rsid w:val="003E571C"/>
    <w:rsid w:val="003E58DD"/>
    <w:rsid w:val="003E5A28"/>
    <w:rsid w:val="003E5F7E"/>
    <w:rsid w:val="003E65DD"/>
    <w:rsid w:val="003E6838"/>
    <w:rsid w:val="003E6895"/>
    <w:rsid w:val="003E68EB"/>
    <w:rsid w:val="003E6A88"/>
    <w:rsid w:val="003E6B51"/>
    <w:rsid w:val="003E76D0"/>
    <w:rsid w:val="003E7EC9"/>
    <w:rsid w:val="003E7FBD"/>
    <w:rsid w:val="003F0008"/>
    <w:rsid w:val="003F0279"/>
    <w:rsid w:val="003F0332"/>
    <w:rsid w:val="003F034C"/>
    <w:rsid w:val="003F035A"/>
    <w:rsid w:val="003F050B"/>
    <w:rsid w:val="003F06D3"/>
    <w:rsid w:val="003F09B4"/>
    <w:rsid w:val="003F09EB"/>
    <w:rsid w:val="003F0A9A"/>
    <w:rsid w:val="003F0BD3"/>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4E9"/>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5EF"/>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83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A6E"/>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7A3"/>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91B"/>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49D"/>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5F1"/>
    <w:rsid w:val="004426B9"/>
    <w:rsid w:val="00442B24"/>
    <w:rsid w:val="00442DDA"/>
    <w:rsid w:val="00442EF7"/>
    <w:rsid w:val="00442F91"/>
    <w:rsid w:val="004432BF"/>
    <w:rsid w:val="00443614"/>
    <w:rsid w:val="00443E2D"/>
    <w:rsid w:val="00443F31"/>
    <w:rsid w:val="00443F33"/>
    <w:rsid w:val="00444295"/>
    <w:rsid w:val="004448BA"/>
    <w:rsid w:val="00444949"/>
    <w:rsid w:val="00444A40"/>
    <w:rsid w:val="00444DE9"/>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950"/>
    <w:rsid w:val="004469A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0D6E"/>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FB"/>
    <w:rsid w:val="004549C3"/>
    <w:rsid w:val="00454E3A"/>
    <w:rsid w:val="00454EE2"/>
    <w:rsid w:val="00455112"/>
    <w:rsid w:val="004552E1"/>
    <w:rsid w:val="004554CD"/>
    <w:rsid w:val="00455606"/>
    <w:rsid w:val="004558D0"/>
    <w:rsid w:val="00455AB3"/>
    <w:rsid w:val="00455C82"/>
    <w:rsid w:val="0045611C"/>
    <w:rsid w:val="00456222"/>
    <w:rsid w:val="0045662C"/>
    <w:rsid w:val="00456751"/>
    <w:rsid w:val="0045687E"/>
    <w:rsid w:val="00456A7C"/>
    <w:rsid w:val="00456AF5"/>
    <w:rsid w:val="00456AF7"/>
    <w:rsid w:val="00456BC8"/>
    <w:rsid w:val="00456CD6"/>
    <w:rsid w:val="00456E47"/>
    <w:rsid w:val="00456E8D"/>
    <w:rsid w:val="00457047"/>
    <w:rsid w:val="00457133"/>
    <w:rsid w:val="00457459"/>
    <w:rsid w:val="00457830"/>
    <w:rsid w:val="00457B3D"/>
    <w:rsid w:val="00457CD0"/>
    <w:rsid w:val="00457EEE"/>
    <w:rsid w:val="004600DE"/>
    <w:rsid w:val="00460246"/>
    <w:rsid w:val="00460A52"/>
    <w:rsid w:val="00460AD3"/>
    <w:rsid w:val="004610F0"/>
    <w:rsid w:val="0046111E"/>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5D80"/>
    <w:rsid w:val="00476063"/>
    <w:rsid w:val="00476248"/>
    <w:rsid w:val="0047632D"/>
    <w:rsid w:val="00476486"/>
    <w:rsid w:val="0047663A"/>
    <w:rsid w:val="0047665E"/>
    <w:rsid w:val="00476851"/>
    <w:rsid w:val="00476AB4"/>
    <w:rsid w:val="00476BD6"/>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CEF"/>
    <w:rsid w:val="00491E4F"/>
    <w:rsid w:val="00492709"/>
    <w:rsid w:val="00492790"/>
    <w:rsid w:val="004928AB"/>
    <w:rsid w:val="00492F91"/>
    <w:rsid w:val="004930F3"/>
    <w:rsid w:val="00493207"/>
    <w:rsid w:val="00493377"/>
    <w:rsid w:val="0049359B"/>
    <w:rsid w:val="00493614"/>
    <w:rsid w:val="004937BF"/>
    <w:rsid w:val="004939B7"/>
    <w:rsid w:val="00493AFB"/>
    <w:rsid w:val="00493CF3"/>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3F0"/>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095"/>
    <w:rsid w:val="004A1147"/>
    <w:rsid w:val="004A155D"/>
    <w:rsid w:val="004A1924"/>
    <w:rsid w:val="004A1DF6"/>
    <w:rsid w:val="004A1F4F"/>
    <w:rsid w:val="004A26A7"/>
    <w:rsid w:val="004A29C9"/>
    <w:rsid w:val="004A2A0E"/>
    <w:rsid w:val="004A2BBC"/>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D35"/>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4F7"/>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A5D"/>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952"/>
    <w:rsid w:val="004C0C1E"/>
    <w:rsid w:val="004C0E78"/>
    <w:rsid w:val="004C0E96"/>
    <w:rsid w:val="004C0F26"/>
    <w:rsid w:val="004C0F29"/>
    <w:rsid w:val="004C12F3"/>
    <w:rsid w:val="004C1525"/>
    <w:rsid w:val="004C1688"/>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57"/>
    <w:rsid w:val="004C4D78"/>
    <w:rsid w:val="004C5236"/>
    <w:rsid w:val="004C54B6"/>
    <w:rsid w:val="004C5536"/>
    <w:rsid w:val="004C56C7"/>
    <w:rsid w:val="004C5AB2"/>
    <w:rsid w:val="004C5AE1"/>
    <w:rsid w:val="004C5C93"/>
    <w:rsid w:val="004C6064"/>
    <w:rsid w:val="004C60D1"/>
    <w:rsid w:val="004C61E5"/>
    <w:rsid w:val="004C6229"/>
    <w:rsid w:val="004C654C"/>
    <w:rsid w:val="004C658C"/>
    <w:rsid w:val="004C6708"/>
    <w:rsid w:val="004C68E4"/>
    <w:rsid w:val="004C6983"/>
    <w:rsid w:val="004C6BED"/>
    <w:rsid w:val="004C6E38"/>
    <w:rsid w:val="004C6E43"/>
    <w:rsid w:val="004C6E73"/>
    <w:rsid w:val="004C6F9D"/>
    <w:rsid w:val="004C73A5"/>
    <w:rsid w:val="004C76A3"/>
    <w:rsid w:val="004C7891"/>
    <w:rsid w:val="004C7901"/>
    <w:rsid w:val="004C797C"/>
    <w:rsid w:val="004C7EA7"/>
    <w:rsid w:val="004D0002"/>
    <w:rsid w:val="004D0245"/>
    <w:rsid w:val="004D02E2"/>
    <w:rsid w:val="004D057E"/>
    <w:rsid w:val="004D0859"/>
    <w:rsid w:val="004D0961"/>
    <w:rsid w:val="004D0963"/>
    <w:rsid w:val="004D0A19"/>
    <w:rsid w:val="004D0FAD"/>
    <w:rsid w:val="004D0FFA"/>
    <w:rsid w:val="004D1275"/>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45B"/>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2B1"/>
    <w:rsid w:val="004D5552"/>
    <w:rsid w:val="004D5803"/>
    <w:rsid w:val="004D58F7"/>
    <w:rsid w:val="004D5EDD"/>
    <w:rsid w:val="004D6111"/>
    <w:rsid w:val="004D66C1"/>
    <w:rsid w:val="004D68B6"/>
    <w:rsid w:val="004D6B0D"/>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885"/>
    <w:rsid w:val="004E3A0E"/>
    <w:rsid w:val="004E3ACB"/>
    <w:rsid w:val="004E3C4D"/>
    <w:rsid w:val="004E41FA"/>
    <w:rsid w:val="004E4883"/>
    <w:rsid w:val="004E497B"/>
    <w:rsid w:val="004E4B0E"/>
    <w:rsid w:val="004E4B8A"/>
    <w:rsid w:val="004E4BBC"/>
    <w:rsid w:val="004E4CC3"/>
    <w:rsid w:val="004E4FDD"/>
    <w:rsid w:val="004E51C1"/>
    <w:rsid w:val="004E5244"/>
    <w:rsid w:val="004E53F0"/>
    <w:rsid w:val="004E587D"/>
    <w:rsid w:val="004E6248"/>
    <w:rsid w:val="004E6442"/>
    <w:rsid w:val="004E6749"/>
    <w:rsid w:val="004E6864"/>
    <w:rsid w:val="004E6A2A"/>
    <w:rsid w:val="004E6A7A"/>
    <w:rsid w:val="004E6C94"/>
    <w:rsid w:val="004E6D0B"/>
    <w:rsid w:val="004E6F5F"/>
    <w:rsid w:val="004E73F2"/>
    <w:rsid w:val="004E7A6A"/>
    <w:rsid w:val="004E7AA8"/>
    <w:rsid w:val="004E7B9E"/>
    <w:rsid w:val="004F06EA"/>
    <w:rsid w:val="004F0831"/>
    <w:rsid w:val="004F087B"/>
    <w:rsid w:val="004F087E"/>
    <w:rsid w:val="004F0AD0"/>
    <w:rsid w:val="004F0CA5"/>
    <w:rsid w:val="004F0F6D"/>
    <w:rsid w:val="004F0FE9"/>
    <w:rsid w:val="004F1008"/>
    <w:rsid w:val="004F126B"/>
    <w:rsid w:val="004F171E"/>
    <w:rsid w:val="004F1933"/>
    <w:rsid w:val="004F1C18"/>
    <w:rsid w:val="004F2190"/>
    <w:rsid w:val="004F223E"/>
    <w:rsid w:val="004F24CF"/>
    <w:rsid w:val="004F27CF"/>
    <w:rsid w:val="004F29F7"/>
    <w:rsid w:val="004F2C4C"/>
    <w:rsid w:val="004F322E"/>
    <w:rsid w:val="004F3304"/>
    <w:rsid w:val="004F336F"/>
    <w:rsid w:val="004F35C3"/>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90E"/>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765"/>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78F"/>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53"/>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A1"/>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29"/>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E00"/>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8F"/>
    <w:rsid w:val="0054099D"/>
    <w:rsid w:val="00540A60"/>
    <w:rsid w:val="00540ABD"/>
    <w:rsid w:val="00540D67"/>
    <w:rsid w:val="00541179"/>
    <w:rsid w:val="00541687"/>
    <w:rsid w:val="005416F2"/>
    <w:rsid w:val="00541C0E"/>
    <w:rsid w:val="00542251"/>
    <w:rsid w:val="0054252D"/>
    <w:rsid w:val="005426A3"/>
    <w:rsid w:val="005427F3"/>
    <w:rsid w:val="00542ABE"/>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33F"/>
    <w:rsid w:val="005474EA"/>
    <w:rsid w:val="00547720"/>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6E"/>
    <w:rsid w:val="005521E0"/>
    <w:rsid w:val="0055239F"/>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D6C"/>
    <w:rsid w:val="00554EF3"/>
    <w:rsid w:val="00554F74"/>
    <w:rsid w:val="005550CA"/>
    <w:rsid w:val="005550E8"/>
    <w:rsid w:val="0055511E"/>
    <w:rsid w:val="00555144"/>
    <w:rsid w:val="00555371"/>
    <w:rsid w:val="005553E8"/>
    <w:rsid w:val="0055544E"/>
    <w:rsid w:val="00555FCC"/>
    <w:rsid w:val="00556256"/>
    <w:rsid w:val="005563B1"/>
    <w:rsid w:val="005564EA"/>
    <w:rsid w:val="00556610"/>
    <w:rsid w:val="0055692C"/>
    <w:rsid w:val="005569A9"/>
    <w:rsid w:val="00556A82"/>
    <w:rsid w:val="00557325"/>
    <w:rsid w:val="005576CD"/>
    <w:rsid w:val="005577A5"/>
    <w:rsid w:val="0055786F"/>
    <w:rsid w:val="005579A5"/>
    <w:rsid w:val="00557BAA"/>
    <w:rsid w:val="00557EF8"/>
    <w:rsid w:val="00560412"/>
    <w:rsid w:val="0056042B"/>
    <w:rsid w:val="00560510"/>
    <w:rsid w:val="0056069E"/>
    <w:rsid w:val="00560702"/>
    <w:rsid w:val="0056070F"/>
    <w:rsid w:val="005607C7"/>
    <w:rsid w:val="00560B26"/>
    <w:rsid w:val="00560CF2"/>
    <w:rsid w:val="00560F67"/>
    <w:rsid w:val="00560FBD"/>
    <w:rsid w:val="00561031"/>
    <w:rsid w:val="00561086"/>
    <w:rsid w:val="00561287"/>
    <w:rsid w:val="00561289"/>
    <w:rsid w:val="00561605"/>
    <w:rsid w:val="00561696"/>
    <w:rsid w:val="005619D3"/>
    <w:rsid w:val="00561A70"/>
    <w:rsid w:val="00561A9D"/>
    <w:rsid w:val="00561AD5"/>
    <w:rsid w:val="00561D96"/>
    <w:rsid w:val="00561F51"/>
    <w:rsid w:val="005621D6"/>
    <w:rsid w:val="005621DA"/>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6D1"/>
    <w:rsid w:val="0056470D"/>
    <w:rsid w:val="005648BF"/>
    <w:rsid w:val="005648E9"/>
    <w:rsid w:val="00564AE5"/>
    <w:rsid w:val="00564D19"/>
    <w:rsid w:val="00564EC5"/>
    <w:rsid w:val="00564F34"/>
    <w:rsid w:val="00564FB6"/>
    <w:rsid w:val="0056539B"/>
    <w:rsid w:val="00565625"/>
    <w:rsid w:val="00565959"/>
    <w:rsid w:val="00565BF5"/>
    <w:rsid w:val="00565C36"/>
    <w:rsid w:val="00565C47"/>
    <w:rsid w:val="0056622C"/>
    <w:rsid w:val="005663AE"/>
    <w:rsid w:val="005664C3"/>
    <w:rsid w:val="00566B42"/>
    <w:rsid w:val="00566C27"/>
    <w:rsid w:val="00567320"/>
    <w:rsid w:val="005675DB"/>
    <w:rsid w:val="005678DB"/>
    <w:rsid w:val="005679D7"/>
    <w:rsid w:val="00567FF8"/>
    <w:rsid w:val="00570114"/>
    <w:rsid w:val="005703B5"/>
    <w:rsid w:val="00570839"/>
    <w:rsid w:val="00570EEC"/>
    <w:rsid w:val="0057113E"/>
    <w:rsid w:val="00571343"/>
    <w:rsid w:val="00571552"/>
    <w:rsid w:val="0057166A"/>
    <w:rsid w:val="00571919"/>
    <w:rsid w:val="00571B0F"/>
    <w:rsid w:val="00571D41"/>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47"/>
    <w:rsid w:val="00575AE5"/>
    <w:rsid w:val="00575CDC"/>
    <w:rsid w:val="00575E82"/>
    <w:rsid w:val="00575F09"/>
    <w:rsid w:val="00576058"/>
    <w:rsid w:val="00576697"/>
    <w:rsid w:val="00576A27"/>
    <w:rsid w:val="00576A72"/>
    <w:rsid w:val="00576B1B"/>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4CC"/>
    <w:rsid w:val="005846AD"/>
    <w:rsid w:val="005848BA"/>
    <w:rsid w:val="005848F2"/>
    <w:rsid w:val="00584D65"/>
    <w:rsid w:val="00585063"/>
    <w:rsid w:val="0058555E"/>
    <w:rsid w:val="005855EC"/>
    <w:rsid w:val="00585648"/>
    <w:rsid w:val="005856F5"/>
    <w:rsid w:val="00585829"/>
    <w:rsid w:val="00585ABB"/>
    <w:rsid w:val="00585E4E"/>
    <w:rsid w:val="00585F09"/>
    <w:rsid w:val="00585F3A"/>
    <w:rsid w:val="005862E6"/>
    <w:rsid w:val="00586666"/>
    <w:rsid w:val="00586706"/>
    <w:rsid w:val="00586CA1"/>
    <w:rsid w:val="00586D03"/>
    <w:rsid w:val="00586DC7"/>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FE"/>
    <w:rsid w:val="00595430"/>
    <w:rsid w:val="00595640"/>
    <w:rsid w:val="00595755"/>
    <w:rsid w:val="005958AD"/>
    <w:rsid w:val="00595BAD"/>
    <w:rsid w:val="00595C5E"/>
    <w:rsid w:val="00596018"/>
    <w:rsid w:val="005961BD"/>
    <w:rsid w:val="005963C8"/>
    <w:rsid w:val="0059666C"/>
    <w:rsid w:val="005967D1"/>
    <w:rsid w:val="00596873"/>
    <w:rsid w:val="00596DA9"/>
    <w:rsid w:val="00596E03"/>
    <w:rsid w:val="0059705E"/>
    <w:rsid w:val="0059715D"/>
    <w:rsid w:val="005972B6"/>
    <w:rsid w:val="005978C5"/>
    <w:rsid w:val="00597B5B"/>
    <w:rsid w:val="005A012A"/>
    <w:rsid w:val="005A0222"/>
    <w:rsid w:val="005A024B"/>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C09"/>
    <w:rsid w:val="005A4D54"/>
    <w:rsid w:val="005A5302"/>
    <w:rsid w:val="005A55F6"/>
    <w:rsid w:val="005A56FF"/>
    <w:rsid w:val="005A5839"/>
    <w:rsid w:val="005A597F"/>
    <w:rsid w:val="005A5997"/>
    <w:rsid w:val="005A5CE4"/>
    <w:rsid w:val="005A6480"/>
    <w:rsid w:val="005A693F"/>
    <w:rsid w:val="005A6963"/>
    <w:rsid w:val="005A6993"/>
    <w:rsid w:val="005A6AD2"/>
    <w:rsid w:val="005A72FB"/>
    <w:rsid w:val="005A742C"/>
    <w:rsid w:val="005A746A"/>
    <w:rsid w:val="005A74B4"/>
    <w:rsid w:val="005A759A"/>
    <w:rsid w:val="005A7F6F"/>
    <w:rsid w:val="005B02E3"/>
    <w:rsid w:val="005B0336"/>
    <w:rsid w:val="005B0375"/>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143"/>
    <w:rsid w:val="005B24EE"/>
    <w:rsid w:val="005B2639"/>
    <w:rsid w:val="005B2778"/>
    <w:rsid w:val="005B27A8"/>
    <w:rsid w:val="005B2984"/>
    <w:rsid w:val="005B2B41"/>
    <w:rsid w:val="005B2B99"/>
    <w:rsid w:val="005B2DD9"/>
    <w:rsid w:val="005B2DDD"/>
    <w:rsid w:val="005B2ED7"/>
    <w:rsid w:val="005B3013"/>
    <w:rsid w:val="005B335D"/>
    <w:rsid w:val="005B33F4"/>
    <w:rsid w:val="005B3431"/>
    <w:rsid w:val="005B3A14"/>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39"/>
    <w:rsid w:val="005B7778"/>
    <w:rsid w:val="005B7859"/>
    <w:rsid w:val="005B7AA7"/>
    <w:rsid w:val="005B7B46"/>
    <w:rsid w:val="005B7BA7"/>
    <w:rsid w:val="005B7C30"/>
    <w:rsid w:val="005B7C70"/>
    <w:rsid w:val="005B7D4D"/>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864"/>
    <w:rsid w:val="005D397C"/>
    <w:rsid w:val="005D39DA"/>
    <w:rsid w:val="005D39F5"/>
    <w:rsid w:val="005D3F49"/>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5EEC"/>
    <w:rsid w:val="005D62A3"/>
    <w:rsid w:val="005D6373"/>
    <w:rsid w:val="005D664A"/>
    <w:rsid w:val="005D672D"/>
    <w:rsid w:val="005D68AB"/>
    <w:rsid w:val="005D6C0B"/>
    <w:rsid w:val="005D6EDA"/>
    <w:rsid w:val="005D704B"/>
    <w:rsid w:val="005D70D2"/>
    <w:rsid w:val="005D71BF"/>
    <w:rsid w:val="005D74E6"/>
    <w:rsid w:val="005D75F6"/>
    <w:rsid w:val="005D765B"/>
    <w:rsid w:val="005D76D9"/>
    <w:rsid w:val="005D7700"/>
    <w:rsid w:val="005D7A19"/>
    <w:rsid w:val="005D7C00"/>
    <w:rsid w:val="005D7E1E"/>
    <w:rsid w:val="005E000B"/>
    <w:rsid w:val="005E0078"/>
    <w:rsid w:val="005E0433"/>
    <w:rsid w:val="005E090A"/>
    <w:rsid w:val="005E0964"/>
    <w:rsid w:val="005E0B62"/>
    <w:rsid w:val="005E0DB8"/>
    <w:rsid w:val="005E1346"/>
    <w:rsid w:val="005E13CB"/>
    <w:rsid w:val="005E1670"/>
    <w:rsid w:val="005E1769"/>
    <w:rsid w:val="005E1850"/>
    <w:rsid w:val="005E1888"/>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8C"/>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A3E"/>
    <w:rsid w:val="005E7C4E"/>
    <w:rsid w:val="005E7D2D"/>
    <w:rsid w:val="005F0441"/>
    <w:rsid w:val="005F07AD"/>
    <w:rsid w:val="005F0A87"/>
    <w:rsid w:val="005F0DE3"/>
    <w:rsid w:val="005F0ED2"/>
    <w:rsid w:val="005F0F67"/>
    <w:rsid w:val="005F1003"/>
    <w:rsid w:val="005F10EA"/>
    <w:rsid w:val="005F13AA"/>
    <w:rsid w:val="005F14C2"/>
    <w:rsid w:val="005F1567"/>
    <w:rsid w:val="005F18ED"/>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A4"/>
    <w:rsid w:val="005F7CC5"/>
    <w:rsid w:val="005F7CF9"/>
    <w:rsid w:val="005F7DA6"/>
    <w:rsid w:val="0060034E"/>
    <w:rsid w:val="0060051C"/>
    <w:rsid w:val="00600628"/>
    <w:rsid w:val="00600890"/>
    <w:rsid w:val="00600C89"/>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3C4"/>
    <w:rsid w:val="00610594"/>
    <w:rsid w:val="00610653"/>
    <w:rsid w:val="006108AB"/>
    <w:rsid w:val="00610AB5"/>
    <w:rsid w:val="00610F3F"/>
    <w:rsid w:val="00611658"/>
    <w:rsid w:val="00611758"/>
    <w:rsid w:val="006119CE"/>
    <w:rsid w:val="00611EA3"/>
    <w:rsid w:val="00611F57"/>
    <w:rsid w:val="00612016"/>
    <w:rsid w:val="00612094"/>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4EF"/>
    <w:rsid w:val="0061574E"/>
    <w:rsid w:val="00615A96"/>
    <w:rsid w:val="00615AF6"/>
    <w:rsid w:val="00615BDB"/>
    <w:rsid w:val="00615D17"/>
    <w:rsid w:val="00615D1A"/>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BED"/>
    <w:rsid w:val="00622E2E"/>
    <w:rsid w:val="006231F0"/>
    <w:rsid w:val="00623375"/>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ADB"/>
    <w:rsid w:val="00627B4F"/>
    <w:rsid w:val="00627F2E"/>
    <w:rsid w:val="00630060"/>
    <w:rsid w:val="00630072"/>
    <w:rsid w:val="00630371"/>
    <w:rsid w:val="006304BA"/>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B2"/>
    <w:rsid w:val="006405D5"/>
    <w:rsid w:val="006408B8"/>
    <w:rsid w:val="00641064"/>
    <w:rsid w:val="006416F4"/>
    <w:rsid w:val="00641D60"/>
    <w:rsid w:val="00641E93"/>
    <w:rsid w:val="00641EA9"/>
    <w:rsid w:val="00641ED1"/>
    <w:rsid w:val="0064257E"/>
    <w:rsid w:val="00642760"/>
    <w:rsid w:val="0064276F"/>
    <w:rsid w:val="00642A5B"/>
    <w:rsid w:val="00642E2E"/>
    <w:rsid w:val="00642E6E"/>
    <w:rsid w:val="006431E8"/>
    <w:rsid w:val="00643634"/>
    <w:rsid w:val="00643EF3"/>
    <w:rsid w:val="0064403A"/>
    <w:rsid w:val="0064408E"/>
    <w:rsid w:val="006443BD"/>
    <w:rsid w:val="006445BC"/>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992"/>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53E"/>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96E"/>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E8F"/>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67D0"/>
    <w:rsid w:val="00667524"/>
    <w:rsid w:val="006675B6"/>
    <w:rsid w:val="00667661"/>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34D"/>
    <w:rsid w:val="0067347C"/>
    <w:rsid w:val="006734A3"/>
    <w:rsid w:val="00673588"/>
    <w:rsid w:val="006735F4"/>
    <w:rsid w:val="006737EE"/>
    <w:rsid w:val="00673B77"/>
    <w:rsid w:val="00673FAA"/>
    <w:rsid w:val="0067409A"/>
    <w:rsid w:val="006743A3"/>
    <w:rsid w:val="006744D3"/>
    <w:rsid w:val="00674607"/>
    <w:rsid w:val="0067467E"/>
    <w:rsid w:val="00674700"/>
    <w:rsid w:val="00674760"/>
    <w:rsid w:val="00674929"/>
    <w:rsid w:val="006749AA"/>
    <w:rsid w:val="00674A45"/>
    <w:rsid w:val="00674C28"/>
    <w:rsid w:val="00674D4D"/>
    <w:rsid w:val="00674F7A"/>
    <w:rsid w:val="00675018"/>
    <w:rsid w:val="0067510C"/>
    <w:rsid w:val="0067555B"/>
    <w:rsid w:val="0067568E"/>
    <w:rsid w:val="00675B3F"/>
    <w:rsid w:val="00675D23"/>
    <w:rsid w:val="00675F54"/>
    <w:rsid w:val="00676102"/>
    <w:rsid w:val="00676301"/>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E30"/>
    <w:rsid w:val="00680F0E"/>
    <w:rsid w:val="00680F3D"/>
    <w:rsid w:val="0068134C"/>
    <w:rsid w:val="006816AA"/>
    <w:rsid w:val="00681830"/>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59A"/>
    <w:rsid w:val="00683680"/>
    <w:rsid w:val="0068383F"/>
    <w:rsid w:val="00683ABC"/>
    <w:rsid w:val="00683C91"/>
    <w:rsid w:val="00683E10"/>
    <w:rsid w:val="00683E15"/>
    <w:rsid w:val="00683E62"/>
    <w:rsid w:val="00683FA2"/>
    <w:rsid w:val="006840BA"/>
    <w:rsid w:val="006840D1"/>
    <w:rsid w:val="006843DF"/>
    <w:rsid w:val="0068458B"/>
    <w:rsid w:val="00684CF0"/>
    <w:rsid w:val="00684DCE"/>
    <w:rsid w:val="0068556D"/>
    <w:rsid w:val="00685643"/>
    <w:rsid w:val="00685690"/>
    <w:rsid w:val="00685E78"/>
    <w:rsid w:val="00686209"/>
    <w:rsid w:val="00686422"/>
    <w:rsid w:val="006865A5"/>
    <w:rsid w:val="00686626"/>
    <w:rsid w:val="0068673F"/>
    <w:rsid w:val="00686C2B"/>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441"/>
    <w:rsid w:val="006A655B"/>
    <w:rsid w:val="006A676A"/>
    <w:rsid w:val="006A676B"/>
    <w:rsid w:val="006A6D0F"/>
    <w:rsid w:val="006A6FC3"/>
    <w:rsid w:val="006A7449"/>
    <w:rsid w:val="006A75E3"/>
    <w:rsid w:val="006A761B"/>
    <w:rsid w:val="006A79F6"/>
    <w:rsid w:val="006A7B36"/>
    <w:rsid w:val="006A7C36"/>
    <w:rsid w:val="006B036C"/>
    <w:rsid w:val="006B04FD"/>
    <w:rsid w:val="006B0508"/>
    <w:rsid w:val="006B09C0"/>
    <w:rsid w:val="006B0A44"/>
    <w:rsid w:val="006B0A6D"/>
    <w:rsid w:val="006B0B78"/>
    <w:rsid w:val="006B0C12"/>
    <w:rsid w:val="006B0C53"/>
    <w:rsid w:val="006B0D33"/>
    <w:rsid w:val="006B0F91"/>
    <w:rsid w:val="006B1552"/>
    <w:rsid w:val="006B17C0"/>
    <w:rsid w:val="006B1B56"/>
    <w:rsid w:val="006B1BF6"/>
    <w:rsid w:val="006B1EF3"/>
    <w:rsid w:val="006B1F08"/>
    <w:rsid w:val="006B2203"/>
    <w:rsid w:val="006B26B9"/>
    <w:rsid w:val="006B26C3"/>
    <w:rsid w:val="006B2BDA"/>
    <w:rsid w:val="006B2C91"/>
    <w:rsid w:val="006B2EEA"/>
    <w:rsid w:val="006B327C"/>
    <w:rsid w:val="006B356D"/>
    <w:rsid w:val="006B3655"/>
    <w:rsid w:val="006B37D2"/>
    <w:rsid w:val="006B386C"/>
    <w:rsid w:val="006B38DD"/>
    <w:rsid w:val="006B41AC"/>
    <w:rsid w:val="006B4341"/>
    <w:rsid w:val="006B4653"/>
    <w:rsid w:val="006B4699"/>
    <w:rsid w:val="006B4A8E"/>
    <w:rsid w:val="006B4AFF"/>
    <w:rsid w:val="006B516F"/>
    <w:rsid w:val="006B5341"/>
    <w:rsid w:val="006B5538"/>
    <w:rsid w:val="006B5BBF"/>
    <w:rsid w:val="006B62F8"/>
    <w:rsid w:val="006B63C1"/>
    <w:rsid w:val="006B64F8"/>
    <w:rsid w:val="006B676A"/>
    <w:rsid w:val="006B6841"/>
    <w:rsid w:val="006B6BFF"/>
    <w:rsid w:val="006B714B"/>
    <w:rsid w:val="006B719F"/>
    <w:rsid w:val="006B7260"/>
    <w:rsid w:val="006B73D5"/>
    <w:rsid w:val="006B7491"/>
    <w:rsid w:val="006B775B"/>
    <w:rsid w:val="006B7A90"/>
    <w:rsid w:val="006B7BD4"/>
    <w:rsid w:val="006B7EB8"/>
    <w:rsid w:val="006B7FBB"/>
    <w:rsid w:val="006C04FA"/>
    <w:rsid w:val="006C0531"/>
    <w:rsid w:val="006C0711"/>
    <w:rsid w:val="006C07F6"/>
    <w:rsid w:val="006C0899"/>
    <w:rsid w:val="006C09CE"/>
    <w:rsid w:val="006C0A13"/>
    <w:rsid w:val="006C0AF3"/>
    <w:rsid w:val="006C0C5F"/>
    <w:rsid w:val="006C0DF4"/>
    <w:rsid w:val="006C10AC"/>
    <w:rsid w:val="006C11AE"/>
    <w:rsid w:val="006C129F"/>
    <w:rsid w:val="006C14A7"/>
    <w:rsid w:val="006C1BC3"/>
    <w:rsid w:val="006C1CEE"/>
    <w:rsid w:val="006C1FE1"/>
    <w:rsid w:val="006C1FF4"/>
    <w:rsid w:val="006C2260"/>
    <w:rsid w:val="006C242A"/>
    <w:rsid w:val="006C2585"/>
    <w:rsid w:val="006C25C0"/>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43B"/>
    <w:rsid w:val="006C45B1"/>
    <w:rsid w:val="006C4766"/>
    <w:rsid w:val="006C4D3D"/>
    <w:rsid w:val="006C5088"/>
    <w:rsid w:val="006C531F"/>
    <w:rsid w:val="006C53B7"/>
    <w:rsid w:val="006C5808"/>
    <w:rsid w:val="006C583E"/>
    <w:rsid w:val="006C607A"/>
    <w:rsid w:val="006C6484"/>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62F"/>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C2C"/>
    <w:rsid w:val="006D4D02"/>
    <w:rsid w:val="006D4E1F"/>
    <w:rsid w:val="006D5431"/>
    <w:rsid w:val="006D5702"/>
    <w:rsid w:val="006D5AE9"/>
    <w:rsid w:val="006D5B0B"/>
    <w:rsid w:val="006D5C7A"/>
    <w:rsid w:val="006D5F61"/>
    <w:rsid w:val="006D6463"/>
    <w:rsid w:val="006D651C"/>
    <w:rsid w:val="006D6525"/>
    <w:rsid w:val="006D6632"/>
    <w:rsid w:val="006D6AD3"/>
    <w:rsid w:val="006D7567"/>
    <w:rsid w:val="006D768D"/>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0D"/>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5FB1"/>
    <w:rsid w:val="006E610C"/>
    <w:rsid w:val="006E61C4"/>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DA9"/>
    <w:rsid w:val="006F2EE4"/>
    <w:rsid w:val="006F3147"/>
    <w:rsid w:val="006F31A0"/>
    <w:rsid w:val="006F3862"/>
    <w:rsid w:val="006F3928"/>
    <w:rsid w:val="006F396F"/>
    <w:rsid w:val="006F39E4"/>
    <w:rsid w:val="006F3A0F"/>
    <w:rsid w:val="006F3A77"/>
    <w:rsid w:val="006F3AF1"/>
    <w:rsid w:val="006F3F1B"/>
    <w:rsid w:val="006F4903"/>
    <w:rsid w:val="006F4A07"/>
    <w:rsid w:val="006F4DE4"/>
    <w:rsid w:val="006F509C"/>
    <w:rsid w:val="006F53AC"/>
    <w:rsid w:val="006F53F8"/>
    <w:rsid w:val="006F5B52"/>
    <w:rsid w:val="006F5CB1"/>
    <w:rsid w:val="006F5DC0"/>
    <w:rsid w:val="006F6323"/>
    <w:rsid w:val="006F636F"/>
    <w:rsid w:val="006F638E"/>
    <w:rsid w:val="006F6B16"/>
    <w:rsid w:val="006F6BD4"/>
    <w:rsid w:val="006F6D72"/>
    <w:rsid w:val="006F6DB9"/>
    <w:rsid w:val="006F6DD1"/>
    <w:rsid w:val="006F6FCA"/>
    <w:rsid w:val="006F7354"/>
    <w:rsid w:val="006F7777"/>
    <w:rsid w:val="006F7A11"/>
    <w:rsid w:val="006F7A20"/>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04E"/>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CE8"/>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AB"/>
    <w:rsid w:val="007117DC"/>
    <w:rsid w:val="00711ADC"/>
    <w:rsid w:val="00711BB5"/>
    <w:rsid w:val="00711DF6"/>
    <w:rsid w:val="00711E16"/>
    <w:rsid w:val="00712271"/>
    <w:rsid w:val="00712352"/>
    <w:rsid w:val="00712379"/>
    <w:rsid w:val="0071239E"/>
    <w:rsid w:val="00712419"/>
    <w:rsid w:val="00712630"/>
    <w:rsid w:val="00712887"/>
    <w:rsid w:val="00712BB2"/>
    <w:rsid w:val="00712E03"/>
    <w:rsid w:val="0071318C"/>
    <w:rsid w:val="007131E3"/>
    <w:rsid w:val="007131FE"/>
    <w:rsid w:val="007132DA"/>
    <w:rsid w:val="00713410"/>
    <w:rsid w:val="0071370D"/>
    <w:rsid w:val="00713B0A"/>
    <w:rsid w:val="00713B2F"/>
    <w:rsid w:val="0071408E"/>
    <w:rsid w:val="007141F1"/>
    <w:rsid w:val="00714425"/>
    <w:rsid w:val="00714540"/>
    <w:rsid w:val="0071468F"/>
    <w:rsid w:val="00714818"/>
    <w:rsid w:val="00714AE6"/>
    <w:rsid w:val="00714B85"/>
    <w:rsid w:val="00714DB3"/>
    <w:rsid w:val="00714EEA"/>
    <w:rsid w:val="00714FDB"/>
    <w:rsid w:val="007155BE"/>
    <w:rsid w:val="00715FAD"/>
    <w:rsid w:val="0071603E"/>
    <w:rsid w:val="0071605E"/>
    <w:rsid w:val="007167CD"/>
    <w:rsid w:val="007167F1"/>
    <w:rsid w:val="00716B06"/>
    <w:rsid w:val="00716C76"/>
    <w:rsid w:val="00716D13"/>
    <w:rsid w:val="00717035"/>
    <w:rsid w:val="0071714E"/>
    <w:rsid w:val="0071726B"/>
    <w:rsid w:val="0071769D"/>
    <w:rsid w:val="007176EE"/>
    <w:rsid w:val="007177B7"/>
    <w:rsid w:val="00717837"/>
    <w:rsid w:val="00717A67"/>
    <w:rsid w:val="00717BC1"/>
    <w:rsid w:val="00717BCF"/>
    <w:rsid w:val="00717C5A"/>
    <w:rsid w:val="00717CDB"/>
    <w:rsid w:val="00717FE8"/>
    <w:rsid w:val="0072002E"/>
    <w:rsid w:val="00720128"/>
    <w:rsid w:val="007202A3"/>
    <w:rsid w:val="0072064A"/>
    <w:rsid w:val="007208AB"/>
    <w:rsid w:val="00720A79"/>
    <w:rsid w:val="00720F10"/>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5D8E"/>
    <w:rsid w:val="00726090"/>
    <w:rsid w:val="00726140"/>
    <w:rsid w:val="007263F0"/>
    <w:rsid w:val="0072649C"/>
    <w:rsid w:val="007268BF"/>
    <w:rsid w:val="00726A0F"/>
    <w:rsid w:val="00726C01"/>
    <w:rsid w:val="00726D3A"/>
    <w:rsid w:val="00726E20"/>
    <w:rsid w:val="00727409"/>
    <w:rsid w:val="0072758B"/>
    <w:rsid w:val="0072777C"/>
    <w:rsid w:val="00727B3E"/>
    <w:rsid w:val="00727BCF"/>
    <w:rsid w:val="00727DC1"/>
    <w:rsid w:val="00730169"/>
    <w:rsid w:val="007304A5"/>
    <w:rsid w:val="00730C55"/>
    <w:rsid w:val="00731125"/>
    <w:rsid w:val="007311D3"/>
    <w:rsid w:val="007312C3"/>
    <w:rsid w:val="007314B1"/>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B2"/>
    <w:rsid w:val="00734209"/>
    <w:rsid w:val="007342B0"/>
    <w:rsid w:val="007342C7"/>
    <w:rsid w:val="007344A4"/>
    <w:rsid w:val="00734818"/>
    <w:rsid w:val="007349CA"/>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4A"/>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2DC2"/>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060"/>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9E6"/>
    <w:rsid w:val="00764A39"/>
    <w:rsid w:val="00764A54"/>
    <w:rsid w:val="00764AC6"/>
    <w:rsid w:val="00764B82"/>
    <w:rsid w:val="00764F95"/>
    <w:rsid w:val="00764F9E"/>
    <w:rsid w:val="0076534E"/>
    <w:rsid w:val="0076550A"/>
    <w:rsid w:val="0076570F"/>
    <w:rsid w:val="007657C3"/>
    <w:rsid w:val="00765C3D"/>
    <w:rsid w:val="00765F11"/>
    <w:rsid w:val="007660B7"/>
    <w:rsid w:val="0076640E"/>
    <w:rsid w:val="0076667E"/>
    <w:rsid w:val="007668BA"/>
    <w:rsid w:val="00766FB5"/>
    <w:rsid w:val="00767443"/>
    <w:rsid w:val="0076775E"/>
    <w:rsid w:val="00767830"/>
    <w:rsid w:val="007679BA"/>
    <w:rsid w:val="00767B5C"/>
    <w:rsid w:val="00767D8E"/>
    <w:rsid w:val="00767DD0"/>
    <w:rsid w:val="00770189"/>
    <w:rsid w:val="00770285"/>
    <w:rsid w:val="00770400"/>
    <w:rsid w:val="00770634"/>
    <w:rsid w:val="007708FE"/>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769"/>
    <w:rsid w:val="00772BDC"/>
    <w:rsid w:val="00772F16"/>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4F91"/>
    <w:rsid w:val="0077537E"/>
    <w:rsid w:val="007753A4"/>
    <w:rsid w:val="007759DB"/>
    <w:rsid w:val="00775A01"/>
    <w:rsid w:val="00775EE7"/>
    <w:rsid w:val="0077602B"/>
    <w:rsid w:val="0077636F"/>
    <w:rsid w:val="007765BF"/>
    <w:rsid w:val="00776B4A"/>
    <w:rsid w:val="00776C83"/>
    <w:rsid w:val="00776ED8"/>
    <w:rsid w:val="00777247"/>
    <w:rsid w:val="007772D7"/>
    <w:rsid w:val="0077743D"/>
    <w:rsid w:val="00777459"/>
    <w:rsid w:val="00777518"/>
    <w:rsid w:val="007777AC"/>
    <w:rsid w:val="00777892"/>
    <w:rsid w:val="00777AF2"/>
    <w:rsid w:val="00777BE9"/>
    <w:rsid w:val="00777CF7"/>
    <w:rsid w:val="00777E1C"/>
    <w:rsid w:val="00777E73"/>
    <w:rsid w:val="00777E91"/>
    <w:rsid w:val="00777F1B"/>
    <w:rsid w:val="00780138"/>
    <w:rsid w:val="00780487"/>
    <w:rsid w:val="00780889"/>
    <w:rsid w:val="00780BDF"/>
    <w:rsid w:val="00780C52"/>
    <w:rsid w:val="00780C91"/>
    <w:rsid w:val="00780CF8"/>
    <w:rsid w:val="007812AA"/>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032"/>
    <w:rsid w:val="00791F20"/>
    <w:rsid w:val="007920E7"/>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A46"/>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B0C"/>
    <w:rsid w:val="00796E89"/>
    <w:rsid w:val="00796F76"/>
    <w:rsid w:val="00797005"/>
    <w:rsid w:val="0079730A"/>
    <w:rsid w:val="00797597"/>
    <w:rsid w:val="00797AC9"/>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31"/>
    <w:rsid w:val="007A169F"/>
    <w:rsid w:val="007A1800"/>
    <w:rsid w:val="007A1821"/>
    <w:rsid w:val="007A1A14"/>
    <w:rsid w:val="007A1A72"/>
    <w:rsid w:val="007A1B06"/>
    <w:rsid w:val="007A1D5C"/>
    <w:rsid w:val="007A1FFA"/>
    <w:rsid w:val="007A22CE"/>
    <w:rsid w:val="007A2377"/>
    <w:rsid w:val="007A2713"/>
    <w:rsid w:val="007A2B55"/>
    <w:rsid w:val="007A2CDB"/>
    <w:rsid w:val="007A2E22"/>
    <w:rsid w:val="007A2EC8"/>
    <w:rsid w:val="007A2F72"/>
    <w:rsid w:val="007A3197"/>
    <w:rsid w:val="007A34A0"/>
    <w:rsid w:val="007A34A3"/>
    <w:rsid w:val="007A3521"/>
    <w:rsid w:val="007A359A"/>
    <w:rsid w:val="007A378D"/>
    <w:rsid w:val="007A38BF"/>
    <w:rsid w:val="007A3A16"/>
    <w:rsid w:val="007A3CC5"/>
    <w:rsid w:val="007A3CD8"/>
    <w:rsid w:val="007A4186"/>
    <w:rsid w:val="007A468F"/>
    <w:rsid w:val="007A48F7"/>
    <w:rsid w:val="007A4ABF"/>
    <w:rsid w:val="007A4BB4"/>
    <w:rsid w:val="007A4E8D"/>
    <w:rsid w:val="007A566F"/>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518"/>
    <w:rsid w:val="007C4C04"/>
    <w:rsid w:val="007C4C6F"/>
    <w:rsid w:val="007C4E21"/>
    <w:rsid w:val="007C4E68"/>
    <w:rsid w:val="007C4F63"/>
    <w:rsid w:val="007C506C"/>
    <w:rsid w:val="007C510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D30"/>
    <w:rsid w:val="007D0E6C"/>
    <w:rsid w:val="007D0EE7"/>
    <w:rsid w:val="007D1096"/>
    <w:rsid w:val="007D1172"/>
    <w:rsid w:val="007D11FD"/>
    <w:rsid w:val="007D1338"/>
    <w:rsid w:val="007D13C2"/>
    <w:rsid w:val="007D141E"/>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5FC"/>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DAA"/>
    <w:rsid w:val="007D5EC1"/>
    <w:rsid w:val="007D632A"/>
    <w:rsid w:val="007D636B"/>
    <w:rsid w:val="007D6797"/>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3EF3"/>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5E"/>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363"/>
    <w:rsid w:val="007F448E"/>
    <w:rsid w:val="007F4AC5"/>
    <w:rsid w:val="007F4E17"/>
    <w:rsid w:val="007F5805"/>
    <w:rsid w:val="007F59CE"/>
    <w:rsid w:val="007F5C93"/>
    <w:rsid w:val="007F5E23"/>
    <w:rsid w:val="007F5F6E"/>
    <w:rsid w:val="007F6585"/>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4D3"/>
    <w:rsid w:val="0080077F"/>
    <w:rsid w:val="00800796"/>
    <w:rsid w:val="008007C7"/>
    <w:rsid w:val="00800921"/>
    <w:rsid w:val="00800B31"/>
    <w:rsid w:val="00800C5F"/>
    <w:rsid w:val="00800D4D"/>
    <w:rsid w:val="00800E9F"/>
    <w:rsid w:val="008010A7"/>
    <w:rsid w:val="008011B8"/>
    <w:rsid w:val="0080141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32"/>
    <w:rsid w:val="00802FAF"/>
    <w:rsid w:val="00803241"/>
    <w:rsid w:val="00803819"/>
    <w:rsid w:val="00803EA0"/>
    <w:rsid w:val="00803FE6"/>
    <w:rsid w:val="00804170"/>
    <w:rsid w:val="00804432"/>
    <w:rsid w:val="0080496D"/>
    <w:rsid w:val="00804A0B"/>
    <w:rsid w:val="00804CE3"/>
    <w:rsid w:val="00804D75"/>
    <w:rsid w:val="0080509C"/>
    <w:rsid w:val="008051EF"/>
    <w:rsid w:val="008052CE"/>
    <w:rsid w:val="008053A8"/>
    <w:rsid w:val="0080552E"/>
    <w:rsid w:val="008056E0"/>
    <w:rsid w:val="00805B76"/>
    <w:rsid w:val="00805C95"/>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D02"/>
    <w:rsid w:val="00807E12"/>
    <w:rsid w:val="008101C0"/>
    <w:rsid w:val="008103C8"/>
    <w:rsid w:val="00810429"/>
    <w:rsid w:val="00810770"/>
    <w:rsid w:val="008109AE"/>
    <w:rsid w:val="008109ED"/>
    <w:rsid w:val="00810DA4"/>
    <w:rsid w:val="00810FA3"/>
    <w:rsid w:val="008118A6"/>
    <w:rsid w:val="00811F8F"/>
    <w:rsid w:val="008123CF"/>
    <w:rsid w:val="00812AF8"/>
    <w:rsid w:val="00812B3A"/>
    <w:rsid w:val="0081314C"/>
    <w:rsid w:val="0081336E"/>
    <w:rsid w:val="00813427"/>
    <w:rsid w:val="0081343B"/>
    <w:rsid w:val="00813781"/>
    <w:rsid w:val="00813793"/>
    <w:rsid w:val="0081384A"/>
    <w:rsid w:val="008138F8"/>
    <w:rsid w:val="00813D86"/>
    <w:rsid w:val="00813EBD"/>
    <w:rsid w:val="008143FD"/>
    <w:rsid w:val="00814443"/>
    <w:rsid w:val="008146E2"/>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50"/>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1D3"/>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114"/>
    <w:rsid w:val="00837331"/>
    <w:rsid w:val="008376FD"/>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AC1"/>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A54"/>
    <w:rsid w:val="00845DDD"/>
    <w:rsid w:val="008461B6"/>
    <w:rsid w:val="00846315"/>
    <w:rsid w:val="00846322"/>
    <w:rsid w:val="0084634A"/>
    <w:rsid w:val="008463D0"/>
    <w:rsid w:val="008465D4"/>
    <w:rsid w:val="00846774"/>
    <w:rsid w:val="00846DBD"/>
    <w:rsid w:val="008470D7"/>
    <w:rsid w:val="0084714B"/>
    <w:rsid w:val="008471D1"/>
    <w:rsid w:val="00847201"/>
    <w:rsid w:val="00847225"/>
    <w:rsid w:val="008479B1"/>
    <w:rsid w:val="00847BD0"/>
    <w:rsid w:val="00847C94"/>
    <w:rsid w:val="00847FF3"/>
    <w:rsid w:val="00850096"/>
    <w:rsid w:val="0085019A"/>
    <w:rsid w:val="008504B0"/>
    <w:rsid w:val="008506D9"/>
    <w:rsid w:val="008508E6"/>
    <w:rsid w:val="00850BE3"/>
    <w:rsid w:val="00850E80"/>
    <w:rsid w:val="008511E6"/>
    <w:rsid w:val="00851427"/>
    <w:rsid w:val="008515B3"/>
    <w:rsid w:val="008515EC"/>
    <w:rsid w:val="0085169C"/>
    <w:rsid w:val="00851824"/>
    <w:rsid w:val="00852118"/>
    <w:rsid w:val="008525CC"/>
    <w:rsid w:val="0085268F"/>
    <w:rsid w:val="00852722"/>
    <w:rsid w:val="00852758"/>
    <w:rsid w:val="0085275E"/>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81F"/>
    <w:rsid w:val="00855B54"/>
    <w:rsid w:val="00855DC1"/>
    <w:rsid w:val="0085629F"/>
    <w:rsid w:val="008562C4"/>
    <w:rsid w:val="00856472"/>
    <w:rsid w:val="00856523"/>
    <w:rsid w:val="0085678F"/>
    <w:rsid w:val="008568D9"/>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6EF"/>
    <w:rsid w:val="00860707"/>
    <w:rsid w:val="008607C8"/>
    <w:rsid w:val="00860BC1"/>
    <w:rsid w:val="00860C69"/>
    <w:rsid w:val="00860CB7"/>
    <w:rsid w:val="0086122A"/>
    <w:rsid w:val="00861708"/>
    <w:rsid w:val="00861805"/>
    <w:rsid w:val="00861A4A"/>
    <w:rsid w:val="00861B60"/>
    <w:rsid w:val="00861B6D"/>
    <w:rsid w:val="00861C71"/>
    <w:rsid w:val="0086257C"/>
    <w:rsid w:val="00862815"/>
    <w:rsid w:val="008628D2"/>
    <w:rsid w:val="00862958"/>
    <w:rsid w:val="00862F8F"/>
    <w:rsid w:val="0086350E"/>
    <w:rsid w:val="0086359C"/>
    <w:rsid w:val="008635AC"/>
    <w:rsid w:val="00863600"/>
    <w:rsid w:val="00863688"/>
    <w:rsid w:val="008636B9"/>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843"/>
    <w:rsid w:val="0086595D"/>
    <w:rsid w:val="00865D3D"/>
    <w:rsid w:val="008663DB"/>
    <w:rsid w:val="008667AB"/>
    <w:rsid w:val="008667DD"/>
    <w:rsid w:val="008669B0"/>
    <w:rsid w:val="00866A14"/>
    <w:rsid w:val="00866EA5"/>
    <w:rsid w:val="00867984"/>
    <w:rsid w:val="00867C69"/>
    <w:rsid w:val="00867CC5"/>
    <w:rsid w:val="00867E0C"/>
    <w:rsid w:val="00870358"/>
    <w:rsid w:val="0087039E"/>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B2B"/>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571F"/>
    <w:rsid w:val="0087622F"/>
    <w:rsid w:val="00876265"/>
    <w:rsid w:val="00876319"/>
    <w:rsid w:val="0087650A"/>
    <w:rsid w:val="00876672"/>
    <w:rsid w:val="008767FD"/>
    <w:rsid w:val="00876812"/>
    <w:rsid w:val="00876B52"/>
    <w:rsid w:val="00876D75"/>
    <w:rsid w:val="00876EEE"/>
    <w:rsid w:val="00876F07"/>
    <w:rsid w:val="00876F47"/>
    <w:rsid w:val="00876F52"/>
    <w:rsid w:val="00876FD4"/>
    <w:rsid w:val="00877089"/>
    <w:rsid w:val="008773E6"/>
    <w:rsid w:val="00877633"/>
    <w:rsid w:val="0087774B"/>
    <w:rsid w:val="008779E8"/>
    <w:rsid w:val="00877CAC"/>
    <w:rsid w:val="00877DD1"/>
    <w:rsid w:val="00877EF4"/>
    <w:rsid w:val="008800DA"/>
    <w:rsid w:val="008801A7"/>
    <w:rsid w:val="0088065A"/>
    <w:rsid w:val="00880793"/>
    <w:rsid w:val="008809D8"/>
    <w:rsid w:val="00880D96"/>
    <w:rsid w:val="00881049"/>
    <w:rsid w:val="008811F4"/>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2C8"/>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AE"/>
    <w:rsid w:val="00886CFC"/>
    <w:rsid w:val="00886F21"/>
    <w:rsid w:val="00887576"/>
    <w:rsid w:val="00887837"/>
    <w:rsid w:val="00887846"/>
    <w:rsid w:val="008878DE"/>
    <w:rsid w:val="0088794C"/>
    <w:rsid w:val="00887E43"/>
    <w:rsid w:val="00887F09"/>
    <w:rsid w:val="00887FFE"/>
    <w:rsid w:val="00890364"/>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A82"/>
    <w:rsid w:val="00896C56"/>
    <w:rsid w:val="00896F27"/>
    <w:rsid w:val="00897124"/>
    <w:rsid w:val="008977A3"/>
    <w:rsid w:val="0089785A"/>
    <w:rsid w:val="008978FC"/>
    <w:rsid w:val="00897AC7"/>
    <w:rsid w:val="00897ACB"/>
    <w:rsid w:val="00897D38"/>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C70"/>
    <w:rsid w:val="008A1D3A"/>
    <w:rsid w:val="008A1E8B"/>
    <w:rsid w:val="008A233C"/>
    <w:rsid w:val="008A26D4"/>
    <w:rsid w:val="008A275A"/>
    <w:rsid w:val="008A295F"/>
    <w:rsid w:val="008A2A15"/>
    <w:rsid w:val="008A2A73"/>
    <w:rsid w:val="008A2B53"/>
    <w:rsid w:val="008A2CE6"/>
    <w:rsid w:val="008A2D45"/>
    <w:rsid w:val="008A2EB0"/>
    <w:rsid w:val="008A2EF1"/>
    <w:rsid w:val="008A2F10"/>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7E6"/>
    <w:rsid w:val="008A583F"/>
    <w:rsid w:val="008A58E3"/>
    <w:rsid w:val="008A592B"/>
    <w:rsid w:val="008A5B38"/>
    <w:rsid w:val="008A6108"/>
    <w:rsid w:val="008A6230"/>
    <w:rsid w:val="008A63CE"/>
    <w:rsid w:val="008A6691"/>
    <w:rsid w:val="008A669A"/>
    <w:rsid w:val="008A6820"/>
    <w:rsid w:val="008A6F5A"/>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2BB"/>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5E7C"/>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344"/>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B41"/>
    <w:rsid w:val="008C6F36"/>
    <w:rsid w:val="008C7193"/>
    <w:rsid w:val="008C7204"/>
    <w:rsid w:val="008C7380"/>
    <w:rsid w:val="008C7461"/>
    <w:rsid w:val="008C780C"/>
    <w:rsid w:val="008C782C"/>
    <w:rsid w:val="008C7903"/>
    <w:rsid w:val="008C7A35"/>
    <w:rsid w:val="008C7A36"/>
    <w:rsid w:val="008C7ADE"/>
    <w:rsid w:val="008C7B12"/>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3FA3"/>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CBD"/>
    <w:rsid w:val="008D6D83"/>
    <w:rsid w:val="008D6DB1"/>
    <w:rsid w:val="008D6EEE"/>
    <w:rsid w:val="008D7222"/>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C3A"/>
    <w:rsid w:val="008E2E7F"/>
    <w:rsid w:val="008E2F2B"/>
    <w:rsid w:val="008E2FA5"/>
    <w:rsid w:val="008E33FF"/>
    <w:rsid w:val="008E360D"/>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64B"/>
    <w:rsid w:val="008F18E6"/>
    <w:rsid w:val="008F1A9A"/>
    <w:rsid w:val="008F1B35"/>
    <w:rsid w:val="008F1D2E"/>
    <w:rsid w:val="008F2523"/>
    <w:rsid w:val="008F2549"/>
    <w:rsid w:val="008F2598"/>
    <w:rsid w:val="008F2D82"/>
    <w:rsid w:val="008F2E57"/>
    <w:rsid w:val="008F2ED4"/>
    <w:rsid w:val="008F2F60"/>
    <w:rsid w:val="008F3467"/>
    <w:rsid w:val="008F3588"/>
    <w:rsid w:val="008F36ED"/>
    <w:rsid w:val="008F39C9"/>
    <w:rsid w:val="008F3A0C"/>
    <w:rsid w:val="008F3A64"/>
    <w:rsid w:val="008F3A9B"/>
    <w:rsid w:val="008F3C22"/>
    <w:rsid w:val="008F3DF5"/>
    <w:rsid w:val="008F3DFB"/>
    <w:rsid w:val="008F3EE0"/>
    <w:rsid w:val="008F3F9F"/>
    <w:rsid w:val="008F40B9"/>
    <w:rsid w:val="008F40CE"/>
    <w:rsid w:val="008F4264"/>
    <w:rsid w:val="008F42B5"/>
    <w:rsid w:val="008F4368"/>
    <w:rsid w:val="008F446F"/>
    <w:rsid w:val="008F456B"/>
    <w:rsid w:val="008F47C3"/>
    <w:rsid w:val="008F49B7"/>
    <w:rsid w:val="008F4AFF"/>
    <w:rsid w:val="008F4D1D"/>
    <w:rsid w:val="008F4D4B"/>
    <w:rsid w:val="008F4DF6"/>
    <w:rsid w:val="008F5558"/>
    <w:rsid w:val="008F561B"/>
    <w:rsid w:val="008F5795"/>
    <w:rsid w:val="008F58CF"/>
    <w:rsid w:val="008F5A5C"/>
    <w:rsid w:val="008F5C07"/>
    <w:rsid w:val="008F5D28"/>
    <w:rsid w:val="008F5D65"/>
    <w:rsid w:val="008F5EE9"/>
    <w:rsid w:val="008F6045"/>
    <w:rsid w:val="008F60EC"/>
    <w:rsid w:val="008F618B"/>
    <w:rsid w:val="008F62E9"/>
    <w:rsid w:val="008F6400"/>
    <w:rsid w:val="008F640B"/>
    <w:rsid w:val="008F6446"/>
    <w:rsid w:val="008F66C9"/>
    <w:rsid w:val="008F670C"/>
    <w:rsid w:val="008F671C"/>
    <w:rsid w:val="008F69CC"/>
    <w:rsid w:val="008F69FE"/>
    <w:rsid w:val="008F6E6D"/>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18B"/>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37E"/>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0A9"/>
    <w:rsid w:val="0091110D"/>
    <w:rsid w:val="00911141"/>
    <w:rsid w:val="009112C6"/>
    <w:rsid w:val="009117E9"/>
    <w:rsid w:val="00911908"/>
    <w:rsid w:val="00911B52"/>
    <w:rsid w:val="00911C51"/>
    <w:rsid w:val="00911CC6"/>
    <w:rsid w:val="00911DBF"/>
    <w:rsid w:val="00911F55"/>
    <w:rsid w:val="009124B5"/>
    <w:rsid w:val="009125B8"/>
    <w:rsid w:val="00912994"/>
    <w:rsid w:val="009129C0"/>
    <w:rsid w:val="00912A08"/>
    <w:rsid w:val="00912A43"/>
    <w:rsid w:val="00912AE5"/>
    <w:rsid w:val="00912C81"/>
    <w:rsid w:val="00912D82"/>
    <w:rsid w:val="00912E06"/>
    <w:rsid w:val="00912EF9"/>
    <w:rsid w:val="00912F78"/>
    <w:rsid w:val="009135D8"/>
    <w:rsid w:val="009137AC"/>
    <w:rsid w:val="00913B82"/>
    <w:rsid w:val="00913BE4"/>
    <w:rsid w:val="00913D0F"/>
    <w:rsid w:val="00913E64"/>
    <w:rsid w:val="00914232"/>
    <w:rsid w:val="0091441D"/>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738"/>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6E07"/>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25"/>
    <w:rsid w:val="00931852"/>
    <w:rsid w:val="0093193C"/>
    <w:rsid w:val="00931DD7"/>
    <w:rsid w:val="00931E29"/>
    <w:rsid w:val="00931E4A"/>
    <w:rsid w:val="009320F9"/>
    <w:rsid w:val="009321DF"/>
    <w:rsid w:val="00932317"/>
    <w:rsid w:val="009323FC"/>
    <w:rsid w:val="009329FF"/>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BA"/>
    <w:rsid w:val="00936771"/>
    <w:rsid w:val="00936960"/>
    <w:rsid w:val="00936A66"/>
    <w:rsid w:val="00936C68"/>
    <w:rsid w:val="00936DBC"/>
    <w:rsid w:val="00937087"/>
    <w:rsid w:val="00937249"/>
    <w:rsid w:val="009373FC"/>
    <w:rsid w:val="00937506"/>
    <w:rsid w:val="009375E1"/>
    <w:rsid w:val="00937699"/>
    <w:rsid w:val="0093799F"/>
    <w:rsid w:val="009379BD"/>
    <w:rsid w:val="009379DA"/>
    <w:rsid w:val="00937BC1"/>
    <w:rsid w:val="00937CC0"/>
    <w:rsid w:val="0094056A"/>
    <w:rsid w:val="0094068A"/>
    <w:rsid w:val="0094098F"/>
    <w:rsid w:val="00940ACB"/>
    <w:rsid w:val="00940E70"/>
    <w:rsid w:val="00941287"/>
    <w:rsid w:val="009412B2"/>
    <w:rsid w:val="00941331"/>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52B"/>
    <w:rsid w:val="00945660"/>
    <w:rsid w:val="00945B25"/>
    <w:rsid w:val="00945CA0"/>
    <w:rsid w:val="00945DE7"/>
    <w:rsid w:val="00945F2C"/>
    <w:rsid w:val="0094614B"/>
    <w:rsid w:val="009461DD"/>
    <w:rsid w:val="009462D6"/>
    <w:rsid w:val="00946632"/>
    <w:rsid w:val="00946BED"/>
    <w:rsid w:val="0094704D"/>
    <w:rsid w:val="0094718E"/>
    <w:rsid w:val="009477F0"/>
    <w:rsid w:val="00947F1D"/>
    <w:rsid w:val="00947F4F"/>
    <w:rsid w:val="00950031"/>
    <w:rsid w:val="00950289"/>
    <w:rsid w:val="00950389"/>
    <w:rsid w:val="009503F5"/>
    <w:rsid w:val="00950523"/>
    <w:rsid w:val="0095069C"/>
    <w:rsid w:val="009508CB"/>
    <w:rsid w:val="00950D1A"/>
    <w:rsid w:val="009510DE"/>
    <w:rsid w:val="00951525"/>
    <w:rsid w:val="0095163E"/>
    <w:rsid w:val="00951666"/>
    <w:rsid w:val="0095193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17E"/>
    <w:rsid w:val="0095421E"/>
    <w:rsid w:val="009543AE"/>
    <w:rsid w:val="00954403"/>
    <w:rsid w:val="00954509"/>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41B"/>
    <w:rsid w:val="00956907"/>
    <w:rsid w:val="00956910"/>
    <w:rsid w:val="00956C10"/>
    <w:rsid w:val="00956F4A"/>
    <w:rsid w:val="009572A1"/>
    <w:rsid w:val="0095765C"/>
    <w:rsid w:val="00957E30"/>
    <w:rsid w:val="00957FD3"/>
    <w:rsid w:val="009600AB"/>
    <w:rsid w:val="00960255"/>
    <w:rsid w:val="009603A1"/>
    <w:rsid w:val="009603A2"/>
    <w:rsid w:val="00960477"/>
    <w:rsid w:val="00960545"/>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364"/>
    <w:rsid w:val="009637B7"/>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67FC3"/>
    <w:rsid w:val="009701E4"/>
    <w:rsid w:val="009703C6"/>
    <w:rsid w:val="00970402"/>
    <w:rsid w:val="00970560"/>
    <w:rsid w:val="00970598"/>
    <w:rsid w:val="00970660"/>
    <w:rsid w:val="00970BC2"/>
    <w:rsid w:val="00970DA0"/>
    <w:rsid w:val="00970E23"/>
    <w:rsid w:val="00970E45"/>
    <w:rsid w:val="009711B2"/>
    <w:rsid w:val="009711B4"/>
    <w:rsid w:val="009714DF"/>
    <w:rsid w:val="009716C6"/>
    <w:rsid w:val="009716DC"/>
    <w:rsid w:val="0097172B"/>
    <w:rsid w:val="00971AF9"/>
    <w:rsid w:val="00971C3B"/>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4B"/>
    <w:rsid w:val="00974182"/>
    <w:rsid w:val="00974188"/>
    <w:rsid w:val="009741CE"/>
    <w:rsid w:val="00974294"/>
    <w:rsid w:val="00974871"/>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352"/>
    <w:rsid w:val="0098060B"/>
    <w:rsid w:val="009806E9"/>
    <w:rsid w:val="0098097E"/>
    <w:rsid w:val="00980ACF"/>
    <w:rsid w:val="00980BA4"/>
    <w:rsid w:val="00980E75"/>
    <w:rsid w:val="0098107F"/>
    <w:rsid w:val="009811B1"/>
    <w:rsid w:val="00981273"/>
    <w:rsid w:val="0098163A"/>
    <w:rsid w:val="009818B9"/>
    <w:rsid w:val="00981CA2"/>
    <w:rsid w:val="0098205B"/>
    <w:rsid w:val="00982137"/>
    <w:rsid w:val="009828BC"/>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14"/>
    <w:rsid w:val="00986F46"/>
    <w:rsid w:val="0098707D"/>
    <w:rsid w:val="00987381"/>
    <w:rsid w:val="00987FFB"/>
    <w:rsid w:val="00990578"/>
    <w:rsid w:val="009906F6"/>
    <w:rsid w:val="0099089D"/>
    <w:rsid w:val="009908A7"/>
    <w:rsid w:val="0099098A"/>
    <w:rsid w:val="00990CF1"/>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0C07"/>
    <w:rsid w:val="009A1240"/>
    <w:rsid w:val="009A13AD"/>
    <w:rsid w:val="009A1798"/>
    <w:rsid w:val="009A1A64"/>
    <w:rsid w:val="009A209D"/>
    <w:rsid w:val="009A2116"/>
    <w:rsid w:val="009A22B7"/>
    <w:rsid w:val="009A232F"/>
    <w:rsid w:val="009A2976"/>
    <w:rsid w:val="009A3182"/>
    <w:rsid w:val="009A3292"/>
    <w:rsid w:val="009A32EC"/>
    <w:rsid w:val="009A3539"/>
    <w:rsid w:val="009A3C59"/>
    <w:rsid w:val="009A3E61"/>
    <w:rsid w:val="009A408C"/>
    <w:rsid w:val="009A4105"/>
    <w:rsid w:val="009A4307"/>
    <w:rsid w:val="009A4599"/>
    <w:rsid w:val="009A4661"/>
    <w:rsid w:val="009A4695"/>
    <w:rsid w:val="009A48C7"/>
    <w:rsid w:val="009A49F8"/>
    <w:rsid w:val="009A4FF9"/>
    <w:rsid w:val="009A5222"/>
    <w:rsid w:val="009A55B9"/>
    <w:rsid w:val="009A59A2"/>
    <w:rsid w:val="009A5A26"/>
    <w:rsid w:val="009A5AAC"/>
    <w:rsid w:val="009A5B27"/>
    <w:rsid w:val="009A5DAD"/>
    <w:rsid w:val="009A64C3"/>
    <w:rsid w:val="009A65F2"/>
    <w:rsid w:val="009A65FE"/>
    <w:rsid w:val="009A6744"/>
    <w:rsid w:val="009A687B"/>
    <w:rsid w:val="009A692A"/>
    <w:rsid w:val="009A6A63"/>
    <w:rsid w:val="009A6D38"/>
    <w:rsid w:val="009A6E11"/>
    <w:rsid w:val="009A6F42"/>
    <w:rsid w:val="009A706B"/>
    <w:rsid w:val="009A742C"/>
    <w:rsid w:val="009A74B8"/>
    <w:rsid w:val="009A75A3"/>
    <w:rsid w:val="009A7706"/>
    <w:rsid w:val="009A7C96"/>
    <w:rsid w:val="009A7E03"/>
    <w:rsid w:val="009B021B"/>
    <w:rsid w:val="009B06B5"/>
    <w:rsid w:val="009B08F6"/>
    <w:rsid w:val="009B091C"/>
    <w:rsid w:val="009B0E26"/>
    <w:rsid w:val="009B0F59"/>
    <w:rsid w:val="009B10A3"/>
    <w:rsid w:val="009B13AA"/>
    <w:rsid w:val="009B173F"/>
    <w:rsid w:val="009B1AEB"/>
    <w:rsid w:val="009B1AF2"/>
    <w:rsid w:val="009B1E80"/>
    <w:rsid w:val="009B1F55"/>
    <w:rsid w:val="009B1FAA"/>
    <w:rsid w:val="009B2326"/>
    <w:rsid w:val="009B2527"/>
    <w:rsid w:val="009B28BF"/>
    <w:rsid w:val="009B2E36"/>
    <w:rsid w:val="009B2F6E"/>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3CD"/>
    <w:rsid w:val="009B65C1"/>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BDD"/>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90E"/>
    <w:rsid w:val="009E1B7A"/>
    <w:rsid w:val="009E1BD6"/>
    <w:rsid w:val="009E1DB4"/>
    <w:rsid w:val="009E2AF5"/>
    <w:rsid w:val="009E2B7A"/>
    <w:rsid w:val="009E304E"/>
    <w:rsid w:val="009E3590"/>
    <w:rsid w:val="009E36BC"/>
    <w:rsid w:val="009E3B33"/>
    <w:rsid w:val="009E3E5E"/>
    <w:rsid w:val="009E4920"/>
    <w:rsid w:val="009E4A2D"/>
    <w:rsid w:val="009E4B07"/>
    <w:rsid w:val="009E50C1"/>
    <w:rsid w:val="009E5186"/>
    <w:rsid w:val="009E51DE"/>
    <w:rsid w:val="009E5327"/>
    <w:rsid w:val="009E5370"/>
    <w:rsid w:val="009E54FA"/>
    <w:rsid w:val="009E55CA"/>
    <w:rsid w:val="009E5724"/>
    <w:rsid w:val="009E5BA6"/>
    <w:rsid w:val="009E5EA4"/>
    <w:rsid w:val="009E5FA1"/>
    <w:rsid w:val="009E61FC"/>
    <w:rsid w:val="009E6347"/>
    <w:rsid w:val="009E6724"/>
    <w:rsid w:val="009E675C"/>
    <w:rsid w:val="009E6BFC"/>
    <w:rsid w:val="009E6C24"/>
    <w:rsid w:val="009E70BF"/>
    <w:rsid w:val="009E7394"/>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A8E"/>
    <w:rsid w:val="009F1C04"/>
    <w:rsid w:val="009F1CBB"/>
    <w:rsid w:val="009F1FA8"/>
    <w:rsid w:val="009F22BA"/>
    <w:rsid w:val="009F2472"/>
    <w:rsid w:val="009F25C5"/>
    <w:rsid w:val="009F2714"/>
    <w:rsid w:val="009F27BD"/>
    <w:rsid w:val="009F295A"/>
    <w:rsid w:val="009F2B72"/>
    <w:rsid w:val="009F2DAE"/>
    <w:rsid w:val="009F301D"/>
    <w:rsid w:val="009F3055"/>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8D0"/>
    <w:rsid w:val="009F5C01"/>
    <w:rsid w:val="009F5DA7"/>
    <w:rsid w:val="009F5EB5"/>
    <w:rsid w:val="009F6269"/>
    <w:rsid w:val="009F6690"/>
    <w:rsid w:val="009F68B7"/>
    <w:rsid w:val="009F68EE"/>
    <w:rsid w:val="009F6954"/>
    <w:rsid w:val="009F69DC"/>
    <w:rsid w:val="009F6A39"/>
    <w:rsid w:val="009F6A79"/>
    <w:rsid w:val="009F6E71"/>
    <w:rsid w:val="009F7386"/>
    <w:rsid w:val="009F762C"/>
    <w:rsid w:val="009F76A7"/>
    <w:rsid w:val="009F7832"/>
    <w:rsid w:val="009F7A81"/>
    <w:rsid w:val="009F7AD8"/>
    <w:rsid w:val="009F7BEB"/>
    <w:rsid w:val="009F7E08"/>
    <w:rsid w:val="00A003B6"/>
    <w:rsid w:val="00A00415"/>
    <w:rsid w:val="00A00627"/>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4B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75A"/>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8F9"/>
    <w:rsid w:val="00A10A23"/>
    <w:rsid w:val="00A10D37"/>
    <w:rsid w:val="00A10DCF"/>
    <w:rsid w:val="00A112A9"/>
    <w:rsid w:val="00A112E5"/>
    <w:rsid w:val="00A11456"/>
    <w:rsid w:val="00A11535"/>
    <w:rsid w:val="00A1156D"/>
    <w:rsid w:val="00A11CCC"/>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235"/>
    <w:rsid w:val="00A1754C"/>
    <w:rsid w:val="00A17709"/>
    <w:rsid w:val="00A1794F"/>
    <w:rsid w:val="00A17D24"/>
    <w:rsid w:val="00A20030"/>
    <w:rsid w:val="00A20104"/>
    <w:rsid w:val="00A203BC"/>
    <w:rsid w:val="00A2052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F45"/>
    <w:rsid w:val="00A221E1"/>
    <w:rsid w:val="00A22549"/>
    <w:rsid w:val="00A226D1"/>
    <w:rsid w:val="00A2291E"/>
    <w:rsid w:val="00A22A7E"/>
    <w:rsid w:val="00A22BF7"/>
    <w:rsid w:val="00A22CBB"/>
    <w:rsid w:val="00A22D49"/>
    <w:rsid w:val="00A22D5A"/>
    <w:rsid w:val="00A23134"/>
    <w:rsid w:val="00A233E4"/>
    <w:rsid w:val="00A235E4"/>
    <w:rsid w:val="00A236CB"/>
    <w:rsid w:val="00A23A6A"/>
    <w:rsid w:val="00A23B91"/>
    <w:rsid w:val="00A23F72"/>
    <w:rsid w:val="00A240FD"/>
    <w:rsid w:val="00A244CC"/>
    <w:rsid w:val="00A25311"/>
    <w:rsid w:val="00A256DD"/>
    <w:rsid w:val="00A257B7"/>
    <w:rsid w:val="00A25A7B"/>
    <w:rsid w:val="00A25B96"/>
    <w:rsid w:val="00A25E77"/>
    <w:rsid w:val="00A2603F"/>
    <w:rsid w:val="00A2614E"/>
    <w:rsid w:val="00A2674D"/>
    <w:rsid w:val="00A2679F"/>
    <w:rsid w:val="00A26800"/>
    <w:rsid w:val="00A2684D"/>
    <w:rsid w:val="00A26C7D"/>
    <w:rsid w:val="00A26CDE"/>
    <w:rsid w:val="00A2713E"/>
    <w:rsid w:val="00A2778E"/>
    <w:rsid w:val="00A279AF"/>
    <w:rsid w:val="00A279C1"/>
    <w:rsid w:val="00A27B06"/>
    <w:rsid w:val="00A27B4B"/>
    <w:rsid w:val="00A27C4A"/>
    <w:rsid w:val="00A27C52"/>
    <w:rsid w:val="00A27CDC"/>
    <w:rsid w:val="00A27F79"/>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154"/>
    <w:rsid w:val="00A334BB"/>
    <w:rsid w:val="00A33683"/>
    <w:rsid w:val="00A338A7"/>
    <w:rsid w:val="00A33909"/>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C4A"/>
    <w:rsid w:val="00A43D41"/>
    <w:rsid w:val="00A43EB6"/>
    <w:rsid w:val="00A445DE"/>
    <w:rsid w:val="00A448C9"/>
    <w:rsid w:val="00A44B5C"/>
    <w:rsid w:val="00A44C2E"/>
    <w:rsid w:val="00A44DB4"/>
    <w:rsid w:val="00A45795"/>
    <w:rsid w:val="00A45A5F"/>
    <w:rsid w:val="00A45C54"/>
    <w:rsid w:val="00A462BF"/>
    <w:rsid w:val="00A464D0"/>
    <w:rsid w:val="00A464FF"/>
    <w:rsid w:val="00A46606"/>
    <w:rsid w:val="00A46943"/>
    <w:rsid w:val="00A46A04"/>
    <w:rsid w:val="00A46ED8"/>
    <w:rsid w:val="00A46F81"/>
    <w:rsid w:val="00A4715C"/>
    <w:rsid w:val="00A47435"/>
    <w:rsid w:val="00A475C0"/>
    <w:rsid w:val="00A47678"/>
    <w:rsid w:val="00A477DD"/>
    <w:rsid w:val="00A478F1"/>
    <w:rsid w:val="00A4798A"/>
    <w:rsid w:val="00A47BE9"/>
    <w:rsid w:val="00A47BF2"/>
    <w:rsid w:val="00A47C55"/>
    <w:rsid w:val="00A500EF"/>
    <w:rsid w:val="00A50241"/>
    <w:rsid w:val="00A502BC"/>
    <w:rsid w:val="00A503DA"/>
    <w:rsid w:val="00A505F5"/>
    <w:rsid w:val="00A50787"/>
    <w:rsid w:val="00A5089D"/>
    <w:rsid w:val="00A50B16"/>
    <w:rsid w:val="00A50E48"/>
    <w:rsid w:val="00A50FD4"/>
    <w:rsid w:val="00A51040"/>
    <w:rsid w:val="00A511D2"/>
    <w:rsid w:val="00A513F2"/>
    <w:rsid w:val="00A51640"/>
    <w:rsid w:val="00A518C8"/>
    <w:rsid w:val="00A5194E"/>
    <w:rsid w:val="00A51A0E"/>
    <w:rsid w:val="00A51A60"/>
    <w:rsid w:val="00A51C61"/>
    <w:rsid w:val="00A51DBC"/>
    <w:rsid w:val="00A51F11"/>
    <w:rsid w:val="00A5224E"/>
    <w:rsid w:val="00A523D3"/>
    <w:rsid w:val="00A524D1"/>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6E2"/>
    <w:rsid w:val="00A55913"/>
    <w:rsid w:val="00A55C47"/>
    <w:rsid w:val="00A55D54"/>
    <w:rsid w:val="00A561BE"/>
    <w:rsid w:val="00A5628E"/>
    <w:rsid w:val="00A56371"/>
    <w:rsid w:val="00A56785"/>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9F"/>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07D"/>
    <w:rsid w:val="00A71128"/>
    <w:rsid w:val="00A71219"/>
    <w:rsid w:val="00A71562"/>
    <w:rsid w:val="00A7159E"/>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6F8"/>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D8"/>
    <w:rsid w:val="00A814B5"/>
    <w:rsid w:val="00A81572"/>
    <w:rsid w:val="00A81753"/>
    <w:rsid w:val="00A8187B"/>
    <w:rsid w:val="00A81B5C"/>
    <w:rsid w:val="00A81BFA"/>
    <w:rsid w:val="00A81DDD"/>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396"/>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57"/>
    <w:rsid w:val="00A95097"/>
    <w:rsid w:val="00A95227"/>
    <w:rsid w:val="00A952BF"/>
    <w:rsid w:val="00A952D9"/>
    <w:rsid w:val="00A953FD"/>
    <w:rsid w:val="00A9541A"/>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679"/>
    <w:rsid w:val="00AA07A2"/>
    <w:rsid w:val="00AA08D9"/>
    <w:rsid w:val="00AA0A31"/>
    <w:rsid w:val="00AA0E80"/>
    <w:rsid w:val="00AA17EC"/>
    <w:rsid w:val="00AA1979"/>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8CF"/>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1D"/>
    <w:rsid w:val="00AC246B"/>
    <w:rsid w:val="00AC2515"/>
    <w:rsid w:val="00AC2671"/>
    <w:rsid w:val="00AC2A9E"/>
    <w:rsid w:val="00AC2D1E"/>
    <w:rsid w:val="00AC2DCD"/>
    <w:rsid w:val="00AC342D"/>
    <w:rsid w:val="00AC347A"/>
    <w:rsid w:val="00AC34DB"/>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2F"/>
    <w:rsid w:val="00AC7894"/>
    <w:rsid w:val="00AD008E"/>
    <w:rsid w:val="00AD01E3"/>
    <w:rsid w:val="00AD030E"/>
    <w:rsid w:val="00AD04D2"/>
    <w:rsid w:val="00AD0589"/>
    <w:rsid w:val="00AD0926"/>
    <w:rsid w:val="00AD094E"/>
    <w:rsid w:val="00AD0B92"/>
    <w:rsid w:val="00AD0C50"/>
    <w:rsid w:val="00AD0CF0"/>
    <w:rsid w:val="00AD0E0D"/>
    <w:rsid w:val="00AD0E10"/>
    <w:rsid w:val="00AD1156"/>
    <w:rsid w:val="00AD1354"/>
    <w:rsid w:val="00AD15CC"/>
    <w:rsid w:val="00AD15D1"/>
    <w:rsid w:val="00AD16A6"/>
    <w:rsid w:val="00AD1733"/>
    <w:rsid w:val="00AD1783"/>
    <w:rsid w:val="00AD179F"/>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2E5"/>
    <w:rsid w:val="00AD5456"/>
    <w:rsid w:val="00AD5A38"/>
    <w:rsid w:val="00AD5C0C"/>
    <w:rsid w:val="00AD6179"/>
    <w:rsid w:val="00AD62F6"/>
    <w:rsid w:val="00AD68C7"/>
    <w:rsid w:val="00AD6A6F"/>
    <w:rsid w:val="00AD6AD9"/>
    <w:rsid w:val="00AD6CBF"/>
    <w:rsid w:val="00AD71A5"/>
    <w:rsid w:val="00AD7450"/>
    <w:rsid w:val="00AD75CB"/>
    <w:rsid w:val="00AD7929"/>
    <w:rsid w:val="00AD7988"/>
    <w:rsid w:val="00AD7B55"/>
    <w:rsid w:val="00AD7B61"/>
    <w:rsid w:val="00AD7DAD"/>
    <w:rsid w:val="00AD7DCA"/>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3F26"/>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4F3"/>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174"/>
    <w:rsid w:val="00AF5652"/>
    <w:rsid w:val="00AF56ED"/>
    <w:rsid w:val="00AF583B"/>
    <w:rsid w:val="00AF59F8"/>
    <w:rsid w:val="00AF5BDA"/>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1EFA"/>
    <w:rsid w:val="00B0203F"/>
    <w:rsid w:val="00B02119"/>
    <w:rsid w:val="00B023A6"/>
    <w:rsid w:val="00B025F8"/>
    <w:rsid w:val="00B028BC"/>
    <w:rsid w:val="00B02B9E"/>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0EB"/>
    <w:rsid w:val="00B0620A"/>
    <w:rsid w:val="00B0650F"/>
    <w:rsid w:val="00B06AFE"/>
    <w:rsid w:val="00B0703E"/>
    <w:rsid w:val="00B07357"/>
    <w:rsid w:val="00B0785E"/>
    <w:rsid w:val="00B078D6"/>
    <w:rsid w:val="00B07AC8"/>
    <w:rsid w:val="00B07B03"/>
    <w:rsid w:val="00B07E5D"/>
    <w:rsid w:val="00B07FB8"/>
    <w:rsid w:val="00B10085"/>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C09"/>
    <w:rsid w:val="00B12DDF"/>
    <w:rsid w:val="00B12E76"/>
    <w:rsid w:val="00B12F27"/>
    <w:rsid w:val="00B13088"/>
    <w:rsid w:val="00B13262"/>
    <w:rsid w:val="00B134BB"/>
    <w:rsid w:val="00B135A7"/>
    <w:rsid w:val="00B13857"/>
    <w:rsid w:val="00B13C26"/>
    <w:rsid w:val="00B13C5A"/>
    <w:rsid w:val="00B13CDC"/>
    <w:rsid w:val="00B13D9B"/>
    <w:rsid w:val="00B141C5"/>
    <w:rsid w:val="00B1440B"/>
    <w:rsid w:val="00B145EC"/>
    <w:rsid w:val="00B147D5"/>
    <w:rsid w:val="00B14A20"/>
    <w:rsid w:val="00B14EA5"/>
    <w:rsid w:val="00B15329"/>
    <w:rsid w:val="00B15542"/>
    <w:rsid w:val="00B15891"/>
    <w:rsid w:val="00B15ADA"/>
    <w:rsid w:val="00B15B40"/>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D2"/>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27F9C"/>
    <w:rsid w:val="00B30414"/>
    <w:rsid w:val="00B306EF"/>
    <w:rsid w:val="00B30A8F"/>
    <w:rsid w:val="00B30DC7"/>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3F"/>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696"/>
    <w:rsid w:val="00B43B8D"/>
    <w:rsid w:val="00B43C6F"/>
    <w:rsid w:val="00B440B5"/>
    <w:rsid w:val="00B4415B"/>
    <w:rsid w:val="00B4419E"/>
    <w:rsid w:val="00B4443F"/>
    <w:rsid w:val="00B44440"/>
    <w:rsid w:val="00B44B13"/>
    <w:rsid w:val="00B44CD4"/>
    <w:rsid w:val="00B44E1D"/>
    <w:rsid w:val="00B451F2"/>
    <w:rsid w:val="00B45B70"/>
    <w:rsid w:val="00B45B81"/>
    <w:rsid w:val="00B45D4D"/>
    <w:rsid w:val="00B45FD7"/>
    <w:rsid w:val="00B46239"/>
    <w:rsid w:val="00B462B4"/>
    <w:rsid w:val="00B4644E"/>
    <w:rsid w:val="00B464A6"/>
    <w:rsid w:val="00B4659D"/>
    <w:rsid w:val="00B46AA8"/>
    <w:rsid w:val="00B46B64"/>
    <w:rsid w:val="00B46D8B"/>
    <w:rsid w:val="00B47112"/>
    <w:rsid w:val="00B472DF"/>
    <w:rsid w:val="00B472F6"/>
    <w:rsid w:val="00B47749"/>
    <w:rsid w:val="00B478E2"/>
    <w:rsid w:val="00B47996"/>
    <w:rsid w:val="00B50034"/>
    <w:rsid w:val="00B50177"/>
    <w:rsid w:val="00B5057F"/>
    <w:rsid w:val="00B506B4"/>
    <w:rsid w:val="00B506BC"/>
    <w:rsid w:val="00B506ED"/>
    <w:rsid w:val="00B50900"/>
    <w:rsid w:val="00B50BDB"/>
    <w:rsid w:val="00B50E3A"/>
    <w:rsid w:val="00B510B2"/>
    <w:rsid w:val="00B512D4"/>
    <w:rsid w:val="00B51693"/>
    <w:rsid w:val="00B519B4"/>
    <w:rsid w:val="00B519FF"/>
    <w:rsid w:val="00B51AFE"/>
    <w:rsid w:val="00B51BF0"/>
    <w:rsid w:val="00B51D8F"/>
    <w:rsid w:val="00B51E29"/>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A27"/>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612"/>
    <w:rsid w:val="00B6171C"/>
    <w:rsid w:val="00B617E4"/>
    <w:rsid w:val="00B61A70"/>
    <w:rsid w:val="00B61DE3"/>
    <w:rsid w:val="00B61FF1"/>
    <w:rsid w:val="00B6222C"/>
    <w:rsid w:val="00B62294"/>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768"/>
    <w:rsid w:val="00B65B85"/>
    <w:rsid w:val="00B65CA2"/>
    <w:rsid w:val="00B65D7B"/>
    <w:rsid w:val="00B661BF"/>
    <w:rsid w:val="00B6632F"/>
    <w:rsid w:val="00B6637D"/>
    <w:rsid w:val="00B66452"/>
    <w:rsid w:val="00B6646B"/>
    <w:rsid w:val="00B66A16"/>
    <w:rsid w:val="00B6714B"/>
    <w:rsid w:val="00B67191"/>
    <w:rsid w:val="00B6741B"/>
    <w:rsid w:val="00B67428"/>
    <w:rsid w:val="00B677B4"/>
    <w:rsid w:val="00B679C3"/>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B6"/>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15A"/>
    <w:rsid w:val="00B815B7"/>
    <w:rsid w:val="00B8162A"/>
    <w:rsid w:val="00B816F2"/>
    <w:rsid w:val="00B81B1C"/>
    <w:rsid w:val="00B81DFD"/>
    <w:rsid w:val="00B82B8F"/>
    <w:rsid w:val="00B82DCF"/>
    <w:rsid w:val="00B82E9E"/>
    <w:rsid w:val="00B833D6"/>
    <w:rsid w:val="00B83410"/>
    <w:rsid w:val="00B83482"/>
    <w:rsid w:val="00B83519"/>
    <w:rsid w:val="00B838D9"/>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667"/>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918"/>
    <w:rsid w:val="00B9294C"/>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2B1"/>
    <w:rsid w:val="00B97512"/>
    <w:rsid w:val="00B9752A"/>
    <w:rsid w:val="00B97640"/>
    <w:rsid w:val="00B976DF"/>
    <w:rsid w:val="00B97706"/>
    <w:rsid w:val="00B97DF4"/>
    <w:rsid w:val="00B97E81"/>
    <w:rsid w:val="00BA0316"/>
    <w:rsid w:val="00BA059E"/>
    <w:rsid w:val="00BA0603"/>
    <w:rsid w:val="00BA073C"/>
    <w:rsid w:val="00BA086F"/>
    <w:rsid w:val="00BA0A0B"/>
    <w:rsid w:val="00BA0B85"/>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ABC"/>
    <w:rsid w:val="00BA5B75"/>
    <w:rsid w:val="00BA5C04"/>
    <w:rsid w:val="00BA5D93"/>
    <w:rsid w:val="00BA60D9"/>
    <w:rsid w:val="00BA62B4"/>
    <w:rsid w:val="00BA63F4"/>
    <w:rsid w:val="00BA64A2"/>
    <w:rsid w:val="00BA6500"/>
    <w:rsid w:val="00BA6542"/>
    <w:rsid w:val="00BA662B"/>
    <w:rsid w:val="00BA6865"/>
    <w:rsid w:val="00BA6A4D"/>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39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91B"/>
    <w:rsid w:val="00BC0A00"/>
    <w:rsid w:val="00BC0C46"/>
    <w:rsid w:val="00BC0C7D"/>
    <w:rsid w:val="00BC0D44"/>
    <w:rsid w:val="00BC0E7F"/>
    <w:rsid w:val="00BC13DE"/>
    <w:rsid w:val="00BC15D2"/>
    <w:rsid w:val="00BC16FD"/>
    <w:rsid w:val="00BC171D"/>
    <w:rsid w:val="00BC1766"/>
    <w:rsid w:val="00BC1C66"/>
    <w:rsid w:val="00BC1C7F"/>
    <w:rsid w:val="00BC1F3F"/>
    <w:rsid w:val="00BC2124"/>
    <w:rsid w:val="00BC264B"/>
    <w:rsid w:val="00BC2729"/>
    <w:rsid w:val="00BC284B"/>
    <w:rsid w:val="00BC2C2C"/>
    <w:rsid w:val="00BC2D0C"/>
    <w:rsid w:val="00BC2EF6"/>
    <w:rsid w:val="00BC34D7"/>
    <w:rsid w:val="00BC361B"/>
    <w:rsid w:val="00BC3BA4"/>
    <w:rsid w:val="00BC3C36"/>
    <w:rsid w:val="00BC3E10"/>
    <w:rsid w:val="00BC3E5F"/>
    <w:rsid w:val="00BC41BD"/>
    <w:rsid w:val="00BC42C8"/>
    <w:rsid w:val="00BC446D"/>
    <w:rsid w:val="00BC4625"/>
    <w:rsid w:val="00BC4796"/>
    <w:rsid w:val="00BC48A8"/>
    <w:rsid w:val="00BC4ED1"/>
    <w:rsid w:val="00BC4FBE"/>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5EF"/>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A03"/>
    <w:rsid w:val="00BD3FFE"/>
    <w:rsid w:val="00BD40A7"/>
    <w:rsid w:val="00BD42C7"/>
    <w:rsid w:val="00BD43D1"/>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AE1"/>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1F70"/>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0F6F"/>
    <w:rsid w:val="00BF11FA"/>
    <w:rsid w:val="00BF1353"/>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8B"/>
    <w:rsid w:val="00C002F3"/>
    <w:rsid w:val="00C00370"/>
    <w:rsid w:val="00C004AC"/>
    <w:rsid w:val="00C007C0"/>
    <w:rsid w:val="00C00DA3"/>
    <w:rsid w:val="00C00DE6"/>
    <w:rsid w:val="00C00EB1"/>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1FD"/>
    <w:rsid w:val="00C03305"/>
    <w:rsid w:val="00C0349C"/>
    <w:rsid w:val="00C036F8"/>
    <w:rsid w:val="00C03999"/>
    <w:rsid w:val="00C03A08"/>
    <w:rsid w:val="00C03A84"/>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6"/>
    <w:rsid w:val="00C135EC"/>
    <w:rsid w:val="00C136AD"/>
    <w:rsid w:val="00C137AE"/>
    <w:rsid w:val="00C138B9"/>
    <w:rsid w:val="00C138FB"/>
    <w:rsid w:val="00C13956"/>
    <w:rsid w:val="00C13CD5"/>
    <w:rsid w:val="00C13F8D"/>
    <w:rsid w:val="00C13FBA"/>
    <w:rsid w:val="00C14200"/>
    <w:rsid w:val="00C144B8"/>
    <w:rsid w:val="00C148A0"/>
    <w:rsid w:val="00C148C4"/>
    <w:rsid w:val="00C14990"/>
    <w:rsid w:val="00C14BAC"/>
    <w:rsid w:val="00C14D3C"/>
    <w:rsid w:val="00C14D8A"/>
    <w:rsid w:val="00C15211"/>
    <w:rsid w:val="00C1542D"/>
    <w:rsid w:val="00C154B5"/>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5B8"/>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4B"/>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7C"/>
    <w:rsid w:val="00C426D2"/>
    <w:rsid w:val="00C4288C"/>
    <w:rsid w:val="00C42BA1"/>
    <w:rsid w:val="00C42DB0"/>
    <w:rsid w:val="00C42E7F"/>
    <w:rsid w:val="00C42FDC"/>
    <w:rsid w:val="00C430F1"/>
    <w:rsid w:val="00C432B9"/>
    <w:rsid w:val="00C433CA"/>
    <w:rsid w:val="00C438FE"/>
    <w:rsid w:val="00C43932"/>
    <w:rsid w:val="00C43A95"/>
    <w:rsid w:val="00C43B4B"/>
    <w:rsid w:val="00C43E5D"/>
    <w:rsid w:val="00C43F52"/>
    <w:rsid w:val="00C44012"/>
    <w:rsid w:val="00C443D3"/>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8F"/>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A4B"/>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803"/>
    <w:rsid w:val="00C61E29"/>
    <w:rsid w:val="00C62184"/>
    <w:rsid w:val="00C6225C"/>
    <w:rsid w:val="00C6230D"/>
    <w:rsid w:val="00C625FB"/>
    <w:rsid w:val="00C62962"/>
    <w:rsid w:val="00C62B3B"/>
    <w:rsid w:val="00C62C29"/>
    <w:rsid w:val="00C63354"/>
    <w:rsid w:val="00C63362"/>
    <w:rsid w:val="00C63397"/>
    <w:rsid w:val="00C6346D"/>
    <w:rsid w:val="00C635AE"/>
    <w:rsid w:val="00C63873"/>
    <w:rsid w:val="00C63A3C"/>
    <w:rsid w:val="00C63AF7"/>
    <w:rsid w:val="00C63C82"/>
    <w:rsid w:val="00C63DFD"/>
    <w:rsid w:val="00C63E9B"/>
    <w:rsid w:val="00C63F41"/>
    <w:rsid w:val="00C63F55"/>
    <w:rsid w:val="00C63F72"/>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7B9"/>
    <w:rsid w:val="00C74A06"/>
    <w:rsid w:val="00C74AB0"/>
    <w:rsid w:val="00C7506F"/>
    <w:rsid w:val="00C7512A"/>
    <w:rsid w:val="00C75176"/>
    <w:rsid w:val="00C751BA"/>
    <w:rsid w:val="00C754FE"/>
    <w:rsid w:val="00C75748"/>
    <w:rsid w:val="00C758E3"/>
    <w:rsid w:val="00C75AC6"/>
    <w:rsid w:val="00C75BF7"/>
    <w:rsid w:val="00C75F0A"/>
    <w:rsid w:val="00C760B3"/>
    <w:rsid w:val="00C76294"/>
    <w:rsid w:val="00C76615"/>
    <w:rsid w:val="00C7666B"/>
    <w:rsid w:val="00C769B1"/>
    <w:rsid w:val="00C76A19"/>
    <w:rsid w:val="00C76BDC"/>
    <w:rsid w:val="00C76BFC"/>
    <w:rsid w:val="00C76CA9"/>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68A"/>
    <w:rsid w:val="00C84716"/>
    <w:rsid w:val="00C8489C"/>
    <w:rsid w:val="00C84B9F"/>
    <w:rsid w:val="00C84EDF"/>
    <w:rsid w:val="00C8549E"/>
    <w:rsid w:val="00C854F3"/>
    <w:rsid w:val="00C8554E"/>
    <w:rsid w:val="00C85A8A"/>
    <w:rsid w:val="00C85C34"/>
    <w:rsid w:val="00C85E53"/>
    <w:rsid w:val="00C86031"/>
    <w:rsid w:val="00C860E4"/>
    <w:rsid w:val="00C86960"/>
    <w:rsid w:val="00C86D51"/>
    <w:rsid w:val="00C871E5"/>
    <w:rsid w:val="00C87255"/>
    <w:rsid w:val="00C87375"/>
    <w:rsid w:val="00C87420"/>
    <w:rsid w:val="00C8780A"/>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3FF"/>
    <w:rsid w:val="00CA046A"/>
    <w:rsid w:val="00CA09BA"/>
    <w:rsid w:val="00CA0B6E"/>
    <w:rsid w:val="00CA0BEA"/>
    <w:rsid w:val="00CA0C72"/>
    <w:rsid w:val="00CA0F70"/>
    <w:rsid w:val="00CA11D5"/>
    <w:rsid w:val="00CA15A5"/>
    <w:rsid w:val="00CA15F3"/>
    <w:rsid w:val="00CA1781"/>
    <w:rsid w:val="00CA192A"/>
    <w:rsid w:val="00CA1EFB"/>
    <w:rsid w:val="00CA2201"/>
    <w:rsid w:val="00CA2CD0"/>
    <w:rsid w:val="00CA31AC"/>
    <w:rsid w:val="00CA333B"/>
    <w:rsid w:val="00CA3698"/>
    <w:rsid w:val="00CA37EF"/>
    <w:rsid w:val="00CA3BB0"/>
    <w:rsid w:val="00CA3CC1"/>
    <w:rsid w:val="00CA3EF3"/>
    <w:rsid w:val="00CA4422"/>
    <w:rsid w:val="00CA46CF"/>
    <w:rsid w:val="00CA46D9"/>
    <w:rsid w:val="00CA47F0"/>
    <w:rsid w:val="00CA4D0F"/>
    <w:rsid w:val="00CA4F66"/>
    <w:rsid w:val="00CA5106"/>
    <w:rsid w:val="00CA5133"/>
    <w:rsid w:val="00CA54CE"/>
    <w:rsid w:val="00CA573E"/>
    <w:rsid w:val="00CA5775"/>
    <w:rsid w:val="00CA59AD"/>
    <w:rsid w:val="00CA5B35"/>
    <w:rsid w:val="00CA5B65"/>
    <w:rsid w:val="00CA5CE4"/>
    <w:rsid w:val="00CA602A"/>
    <w:rsid w:val="00CA6050"/>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7D0"/>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977"/>
    <w:rsid w:val="00CB4EFA"/>
    <w:rsid w:val="00CB51F8"/>
    <w:rsid w:val="00CB55BA"/>
    <w:rsid w:val="00CB59C1"/>
    <w:rsid w:val="00CB5BF0"/>
    <w:rsid w:val="00CB62E1"/>
    <w:rsid w:val="00CB6317"/>
    <w:rsid w:val="00CB631C"/>
    <w:rsid w:val="00CB634F"/>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094"/>
    <w:rsid w:val="00CC5788"/>
    <w:rsid w:val="00CC5F6D"/>
    <w:rsid w:val="00CC638A"/>
    <w:rsid w:val="00CC64A1"/>
    <w:rsid w:val="00CC6F30"/>
    <w:rsid w:val="00CC6FF1"/>
    <w:rsid w:val="00CC7024"/>
    <w:rsid w:val="00CC7105"/>
    <w:rsid w:val="00CC74A7"/>
    <w:rsid w:val="00CC74E9"/>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5CA"/>
    <w:rsid w:val="00CD2A12"/>
    <w:rsid w:val="00CD2E82"/>
    <w:rsid w:val="00CD2F9D"/>
    <w:rsid w:val="00CD30D1"/>
    <w:rsid w:val="00CD313B"/>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4D64"/>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864"/>
    <w:rsid w:val="00CE1BC7"/>
    <w:rsid w:val="00CE229D"/>
    <w:rsid w:val="00CE2547"/>
    <w:rsid w:val="00CE25A3"/>
    <w:rsid w:val="00CE27A2"/>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5F94"/>
    <w:rsid w:val="00CE60E7"/>
    <w:rsid w:val="00CE617B"/>
    <w:rsid w:val="00CE6846"/>
    <w:rsid w:val="00CE6ABE"/>
    <w:rsid w:val="00CE6D12"/>
    <w:rsid w:val="00CE6E08"/>
    <w:rsid w:val="00CE6E64"/>
    <w:rsid w:val="00CE6FF9"/>
    <w:rsid w:val="00CE70D1"/>
    <w:rsid w:val="00CE7372"/>
    <w:rsid w:val="00CE73C6"/>
    <w:rsid w:val="00CE7B5E"/>
    <w:rsid w:val="00CE7BCE"/>
    <w:rsid w:val="00CE7CB3"/>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54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13"/>
    <w:rsid w:val="00CF4242"/>
    <w:rsid w:val="00CF42C3"/>
    <w:rsid w:val="00CF4593"/>
    <w:rsid w:val="00CF4732"/>
    <w:rsid w:val="00CF479A"/>
    <w:rsid w:val="00CF47B0"/>
    <w:rsid w:val="00CF49C9"/>
    <w:rsid w:val="00CF4A1A"/>
    <w:rsid w:val="00CF4DCD"/>
    <w:rsid w:val="00CF503F"/>
    <w:rsid w:val="00CF539E"/>
    <w:rsid w:val="00CF53D4"/>
    <w:rsid w:val="00CF5A67"/>
    <w:rsid w:val="00CF6637"/>
    <w:rsid w:val="00CF69E7"/>
    <w:rsid w:val="00CF73B4"/>
    <w:rsid w:val="00CF73BF"/>
    <w:rsid w:val="00CF767B"/>
    <w:rsid w:val="00CF76A4"/>
    <w:rsid w:val="00CF7713"/>
    <w:rsid w:val="00CF79FB"/>
    <w:rsid w:val="00CF7D71"/>
    <w:rsid w:val="00CF7F4B"/>
    <w:rsid w:val="00D000F3"/>
    <w:rsid w:val="00D0014C"/>
    <w:rsid w:val="00D00188"/>
    <w:rsid w:val="00D0031E"/>
    <w:rsid w:val="00D008AA"/>
    <w:rsid w:val="00D009D9"/>
    <w:rsid w:val="00D00EEE"/>
    <w:rsid w:val="00D01388"/>
    <w:rsid w:val="00D019BC"/>
    <w:rsid w:val="00D01A0C"/>
    <w:rsid w:val="00D01AC3"/>
    <w:rsid w:val="00D01B9A"/>
    <w:rsid w:val="00D01BF0"/>
    <w:rsid w:val="00D01E93"/>
    <w:rsid w:val="00D01FAD"/>
    <w:rsid w:val="00D025A6"/>
    <w:rsid w:val="00D02609"/>
    <w:rsid w:val="00D02681"/>
    <w:rsid w:val="00D029C3"/>
    <w:rsid w:val="00D02C56"/>
    <w:rsid w:val="00D03093"/>
    <w:rsid w:val="00D030AA"/>
    <w:rsid w:val="00D031B2"/>
    <w:rsid w:val="00D0376D"/>
    <w:rsid w:val="00D0390B"/>
    <w:rsid w:val="00D0391A"/>
    <w:rsid w:val="00D039FD"/>
    <w:rsid w:val="00D03D28"/>
    <w:rsid w:val="00D03DD1"/>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167"/>
    <w:rsid w:val="00D0743E"/>
    <w:rsid w:val="00D076D4"/>
    <w:rsid w:val="00D077C7"/>
    <w:rsid w:val="00D07941"/>
    <w:rsid w:val="00D07B31"/>
    <w:rsid w:val="00D07D47"/>
    <w:rsid w:val="00D07F46"/>
    <w:rsid w:val="00D10225"/>
    <w:rsid w:val="00D1030C"/>
    <w:rsid w:val="00D1050C"/>
    <w:rsid w:val="00D10619"/>
    <w:rsid w:val="00D10CC5"/>
    <w:rsid w:val="00D10D96"/>
    <w:rsid w:val="00D11041"/>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A6F"/>
    <w:rsid w:val="00D17FB2"/>
    <w:rsid w:val="00D2018F"/>
    <w:rsid w:val="00D2080B"/>
    <w:rsid w:val="00D208D4"/>
    <w:rsid w:val="00D20A0D"/>
    <w:rsid w:val="00D20B75"/>
    <w:rsid w:val="00D20BD4"/>
    <w:rsid w:val="00D20ED9"/>
    <w:rsid w:val="00D210BE"/>
    <w:rsid w:val="00D21230"/>
    <w:rsid w:val="00D212DA"/>
    <w:rsid w:val="00D21473"/>
    <w:rsid w:val="00D21547"/>
    <w:rsid w:val="00D21989"/>
    <w:rsid w:val="00D21E30"/>
    <w:rsid w:val="00D2219A"/>
    <w:rsid w:val="00D22332"/>
    <w:rsid w:val="00D22510"/>
    <w:rsid w:val="00D22664"/>
    <w:rsid w:val="00D2292A"/>
    <w:rsid w:val="00D22A31"/>
    <w:rsid w:val="00D22A50"/>
    <w:rsid w:val="00D22A9D"/>
    <w:rsid w:val="00D22CC3"/>
    <w:rsid w:val="00D22EE5"/>
    <w:rsid w:val="00D230E2"/>
    <w:rsid w:val="00D23159"/>
    <w:rsid w:val="00D235E8"/>
    <w:rsid w:val="00D23969"/>
    <w:rsid w:val="00D239C5"/>
    <w:rsid w:val="00D23E15"/>
    <w:rsid w:val="00D23EB8"/>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6F1"/>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6C75"/>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428"/>
    <w:rsid w:val="00D42578"/>
    <w:rsid w:val="00D425A9"/>
    <w:rsid w:val="00D427FF"/>
    <w:rsid w:val="00D42B01"/>
    <w:rsid w:val="00D42C66"/>
    <w:rsid w:val="00D42D3F"/>
    <w:rsid w:val="00D433E4"/>
    <w:rsid w:val="00D4379D"/>
    <w:rsid w:val="00D4394A"/>
    <w:rsid w:val="00D43B58"/>
    <w:rsid w:val="00D43C4D"/>
    <w:rsid w:val="00D43F7D"/>
    <w:rsid w:val="00D44108"/>
    <w:rsid w:val="00D441D3"/>
    <w:rsid w:val="00D44485"/>
    <w:rsid w:val="00D44715"/>
    <w:rsid w:val="00D447F6"/>
    <w:rsid w:val="00D44A06"/>
    <w:rsid w:val="00D44BAA"/>
    <w:rsid w:val="00D453FC"/>
    <w:rsid w:val="00D454DB"/>
    <w:rsid w:val="00D457F6"/>
    <w:rsid w:val="00D45891"/>
    <w:rsid w:val="00D45A9B"/>
    <w:rsid w:val="00D45DC2"/>
    <w:rsid w:val="00D4647A"/>
    <w:rsid w:val="00D46643"/>
    <w:rsid w:val="00D466A0"/>
    <w:rsid w:val="00D46A13"/>
    <w:rsid w:val="00D46BCB"/>
    <w:rsid w:val="00D46BDE"/>
    <w:rsid w:val="00D46F55"/>
    <w:rsid w:val="00D47039"/>
    <w:rsid w:val="00D4727B"/>
    <w:rsid w:val="00D4730E"/>
    <w:rsid w:val="00D474C3"/>
    <w:rsid w:val="00D47505"/>
    <w:rsid w:val="00D4755F"/>
    <w:rsid w:val="00D4793A"/>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980"/>
    <w:rsid w:val="00D53C4F"/>
    <w:rsid w:val="00D53D0E"/>
    <w:rsid w:val="00D53F07"/>
    <w:rsid w:val="00D5446D"/>
    <w:rsid w:val="00D54833"/>
    <w:rsid w:val="00D549F5"/>
    <w:rsid w:val="00D549F9"/>
    <w:rsid w:val="00D54D4D"/>
    <w:rsid w:val="00D552E5"/>
    <w:rsid w:val="00D55448"/>
    <w:rsid w:val="00D55629"/>
    <w:rsid w:val="00D55696"/>
    <w:rsid w:val="00D557C1"/>
    <w:rsid w:val="00D55971"/>
    <w:rsid w:val="00D559C0"/>
    <w:rsid w:val="00D559CA"/>
    <w:rsid w:val="00D55BE1"/>
    <w:rsid w:val="00D55C53"/>
    <w:rsid w:val="00D561CF"/>
    <w:rsid w:val="00D564FA"/>
    <w:rsid w:val="00D5658C"/>
    <w:rsid w:val="00D56636"/>
    <w:rsid w:val="00D5670A"/>
    <w:rsid w:val="00D56729"/>
    <w:rsid w:val="00D56C57"/>
    <w:rsid w:val="00D56D23"/>
    <w:rsid w:val="00D56E40"/>
    <w:rsid w:val="00D57133"/>
    <w:rsid w:val="00D57225"/>
    <w:rsid w:val="00D5734E"/>
    <w:rsid w:val="00D57547"/>
    <w:rsid w:val="00D57611"/>
    <w:rsid w:val="00D57A15"/>
    <w:rsid w:val="00D57B26"/>
    <w:rsid w:val="00D57F43"/>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12E"/>
    <w:rsid w:val="00D643E5"/>
    <w:rsid w:val="00D6485A"/>
    <w:rsid w:val="00D648F9"/>
    <w:rsid w:val="00D64B81"/>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06"/>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86"/>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909"/>
    <w:rsid w:val="00D83A6E"/>
    <w:rsid w:val="00D83BEF"/>
    <w:rsid w:val="00D84013"/>
    <w:rsid w:val="00D84070"/>
    <w:rsid w:val="00D84076"/>
    <w:rsid w:val="00D84236"/>
    <w:rsid w:val="00D8433C"/>
    <w:rsid w:val="00D843F9"/>
    <w:rsid w:val="00D84B35"/>
    <w:rsid w:val="00D84EBA"/>
    <w:rsid w:val="00D84F85"/>
    <w:rsid w:val="00D850ED"/>
    <w:rsid w:val="00D853AA"/>
    <w:rsid w:val="00D85631"/>
    <w:rsid w:val="00D85744"/>
    <w:rsid w:val="00D85ED4"/>
    <w:rsid w:val="00D85F5B"/>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34"/>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4E32"/>
    <w:rsid w:val="00D95058"/>
    <w:rsid w:val="00D95192"/>
    <w:rsid w:val="00D95487"/>
    <w:rsid w:val="00D95675"/>
    <w:rsid w:val="00D95C0C"/>
    <w:rsid w:val="00D95C43"/>
    <w:rsid w:val="00D95CB1"/>
    <w:rsid w:val="00D96119"/>
    <w:rsid w:val="00D963B1"/>
    <w:rsid w:val="00D96509"/>
    <w:rsid w:val="00D967E1"/>
    <w:rsid w:val="00D9697E"/>
    <w:rsid w:val="00D96F32"/>
    <w:rsid w:val="00D96FED"/>
    <w:rsid w:val="00D97A93"/>
    <w:rsid w:val="00D97D8C"/>
    <w:rsid w:val="00D97EDD"/>
    <w:rsid w:val="00D97FF4"/>
    <w:rsid w:val="00DA0468"/>
    <w:rsid w:val="00DA05C5"/>
    <w:rsid w:val="00DA064B"/>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6F40"/>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893"/>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2DAD"/>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26"/>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2E6D"/>
    <w:rsid w:val="00DC3262"/>
    <w:rsid w:val="00DC3439"/>
    <w:rsid w:val="00DC34BE"/>
    <w:rsid w:val="00DC35CE"/>
    <w:rsid w:val="00DC36ED"/>
    <w:rsid w:val="00DC3C50"/>
    <w:rsid w:val="00DC3E33"/>
    <w:rsid w:val="00DC41A8"/>
    <w:rsid w:val="00DC4229"/>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831"/>
    <w:rsid w:val="00DC690C"/>
    <w:rsid w:val="00DC6BED"/>
    <w:rsid w:val="00DC6DDE"/>
    <w:rsid w:val="00DC7284"/>
    <w:rsid w:val="00DC72A8"/>
    <w:rsid w:val="00DC75A2"/>
    <w:rsid w:val="00DC793B"/>
    <w:rsid w:val="00DC79B5"/>
    <w:rsid w:val="00DC7A92"/>
    <w:rsid w:val="00DC7B54"/>
    <w:rsid w:val="00DC7CAE"/>
    <w:rsid w:val="00DD009F"/>
    <w:rsid w:val="00DD014C"/>
    <w:rsid w:val="00DD0550"/>
    <w:rsid w:val="00DD0605"/>
    <w:rsid w:val="00DD06F3"/>
    <w:rsid w:val="00DD0C4B"/>
    <w:rsid w:val="00DD0DE8"/>
    <w:rsid w:val="00DD0FCC"/>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BD7"/>
    <w:rsid w:val="00DD6C00"/>
    <w:rsid w:val="00DD6F96"/>
    <w:rsid w:val="00DD6F9E"/>
    <w:rsid w:val="00DD6FB1"/>
    <w:rsid w:val="00DD74F8"/>
    <w:rsid w:val="00DD7818"/>
    <w:rsid w:val="00DE027D"/>
    <w:rsid w:val="00DE0749"/>
    <w:rsid w:val="00DE08CC"/>
    <w:rsid w:val="00DE0B62"/>
    <w:rsid w:val="00DE0C45"/>
    <w:rsid w:val="00DE1183"/>
    <w:rsid w:val="00DE1311"/>
    <w:rsid w:val="00DE13B5"/>
    <w:rsid w:val="00DE1C0F"/>
    <w:rsid w:val="00DE1C38"/>
    <w:rsid w:val="00DE1D3C"/>
    <w:rsid w:val="00DE1DE5"/>
    <w:rsid w:val="00DE1F51"/>
    <w:rsid w:val="00DE216C"/>
    <w:rsid w:val="00DE2269"/>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999"/>
    <w:rsid w:val="00DF19AC"/>
    <w:rsid w:val="00DF20E3"/>
    <w:rsid w:val="00DF212F"/>
    <w:rsid w:val="00DF25BA"/>
    <w:rsid w:val="00DF27BE"/>
    <w:rsid w:val="00DF2927"/>
    <w:rsid w:val="00DF29DE"/>
    <w:rsid w:val="00DF2A59"/>
    <w:rsid w:val="00DF2B23"/>
    <w:rsid w:val="00DF2C5E"/>
    <w:rsid w:val="00DF2CBD"/>
    <w:rsid w:val="00DF2DB2"/>
    <w:rsid w:val="00DF2EB7"/>
    <w:rsid w:val="00DF2EFE"/>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0F9"/>
    <w:rsid w:val="00DF5179"/>
    <w:rsid w:val="00DF5BB7"/>
    <w:rsid w:val="00DF5BFF"/>
    <w:rsid w:val="00DF5C15"/>
    <w:rsid w:val="00DF5F78"/>
    <w:rsid w:val="00DF6089"/>
    <w:rsid w:val="00DF6149"/>
    <w:rsid w:val="00DF6615"/>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D71"/>
    <w:rsid w:val="00E00FE0"/>
    <w:rsid w:val="00E01102"/>
    <w:rsid w:val="00E011AD"/>
    <w:rsid w:val="00E0135B"/>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57"/>
    <w:rsid w:val="00E03778"/>
    <w:rsid w:val="00E03C00"/>
    <w:rsid w:val="00E03DA2"/>
    <w:rsid w:val="00E03F2A"/>
    <w:rsid w:val="00E04103"/>
    <w:rsid w:val="00E04879"/>
    <w:rsid w:val="00E04C71"/>
    <w:rsid w:val="00E04E48"/>
    <w:rsid w:val="00E055D1"/>
    <w:rsid w:val="00E055D8"/>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48"/>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2F90"/>
    <w:rsid w:val="00E2306E"/>
    <w:rsid w:val="00E23087"/>
    <w:rsid w:val="00E232D1"/>
    <w:rsid w:val="00E234BB"/>
    <w:rsid w:val="00E235CF"/>
    <w:rsid w:val="00E23770"/>
    <w:rsid w:val="00E2399D"/>
    <w:rsid w:val="00E239C5"/>
    <w:rsid w:val="00E23D2F"/>
    <w:rsid w:val="00E23F47"/>
    <w:rsid w:val="00E23F88"/>
    <w:rsid w:val="00E23FC8"/>
    <w:rsid w:val="00E24718"/>
    <w:rsid w:val="00E24812"/>
    <w:rsid w:val="00E24939"/>
    <w:rsid w:val="00E249CE"/>
    <w:rsid w:val="00E24B33"/>
    <w:rsid w:val="00E24B97"/>
    <w:rsid w:val="00E24BEC"/>
    <w:rsid w:val="00E24C5E"/>
    <w:rsid w:val="00E24DDF"/>
    <w:rsid w:val="00E24EC4"/>
    <w:rsid w:val="00E2512A"/>
    <w:rsid w:val="00E251F8"/>
    <w:rsid w:val="00E2538D"/>
    <w:rsid w:val="00E25492"/>
    <w:rsid w:val="00E25D6B"/>
    <w:rsid w:val="00E25E9C"/>
    <w:rsid w:val="00E25ED8"/>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0C"/>
    <w:rsid w:val="00E32972"/>
    <w:rsid w:val="00E32BAE"/>
    <w:rsid w:val="00E32DA4"/>
    <w:rsid w:val="00E32DE0"/>
    <w:rsid w:val="00E32F9C"/>
    <w:rsid w:val="00E33150"/>
    <w:rsid w:val="00E333EF"/>
    <w:rsid w:val="00E336D3"/>
    <w:rsid w:val="00E336E0"/>
    <w:rsid w:val="00E3382C"/>
    <w:rsid w:val="00E339A0"/>
    <w:rsid w:val="00E33D57"/>
    <w:rsid w:val="00E3411A"/>
    <w:rsid w:val="00E3424C"/>
    <w:rsid w:val="00E34522"/>
    <w:rsid w:val="00E34AAB"/>
    <w:rsid w:val="00E34D0D"/>
    <w:rsid w:val="00E34FCF"/>
    <w:rsid w:val="00E3505A"/>
    <w:rsid w:val="00E3521E"/>
    <w:rsid w:val="00E3526B"/>
    <w:rsid w:val="00E352FB"/>
    <w:rsid w:val="00E353ED"/>
    <w:rsid w:val="00E3570C"/>
    <w:rsid w:val="00E35810"/>
    <w:rsid w:val="00E358AE"/>
    <w:rsid w:val="00E35977"/>
    <w:rsid w:val="00E35B56"/>
    <w:rsid w:val="00E35C6F"/>
    <w:rsid w:val="00E35D88"/>
    <w:rsid w:val="00E35DB7"/>
    <w:rsid w:val="00E36071"/>
    <w:rsid w:val="00E3644C"/>
    <w:rsid w:val="00E36555"/>
    <w:rsid w:val="00E366A8"/>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4DB"/>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E1"/>
    <w:rsid w:val="00E467FF"/>
    <w:rsid w:val="00E46901"/>
    <w:rsid w:val="00E46991"/>
    <w:rsid w:val="00E46C22"/>
    <w:rsid w:val="00E46C34"/>
    <w:rsid w:val="00E46D77"/>
    <w:rsid w:val="00E46E22"/>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06"/>
    <w:rsid w:val="00E5502E"/>
    <w:rsid w:val="00E55495"/>
    <w:rsid w:val="00E55B9B"/>
    <w:rsid w:val="00E55F31"/>
    <w:rsid w:val="00E560B5"/>
    <w:rsid w:val="00E560DF"/>
    <w:rsid w:val="00E5633B"/>
    <w:rsid w:val="00E56488"/>
    <w:rsid w:val="00E56549"/>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A48"/>
    <w:rsid w:val="00E61D4C"/>
    <w:rsid w:val="00E61DE6"/>
    <w:rsid w:val="00E61EDC"/>
    <w:rsid w:val="00E61EE4"/>
    <w:rsid w:val="00E620DE"/>
    <w:rsid w:val="00E621FF"/>
    <w:rsid w:val="00E62439"/>
    <w:rsid w:val="00E62683"/>
    <w:rsid w:val="00E62687"/>
    <w:rsid w:val="00E62A8E"/>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5B"/>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1B"/>
    <w:rsid w:val="00E72764"/>
    <w:rsid w:val="00E72898"/>
    <w:rsid w:val="00E72985"/>
    <w:rsid w:val="00E72CA9"/>
    <w:rsid w:val="00E72D0D"/>
    <w:rsid w:val="00E72DD1"/>
    <w:rsid w:val="00E72DF1"/>
    <w:rsid w:val="00E72F05"/>
    <w:rsid w:val="00E72F15"/>
    <w:rsid w:val="00E72F8B"/>
    <w:rsid w:val="00E73052"/>
    <w:rsid w:val="00E73105"/>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125"/>
    <w:rsid w:val="00E77495"/>
    <w:rsid w:val="00E7762A"/>
    <w:rsid w:val="00E77AB6"/>
    <w:rsid w:val="00E77FBE"/>
    <w:rsid w:val="00E80015"/>
    <w:rsid w:val="00E8038D"/>
    <w:rsid w:val="00E803B7"/>
    <w:rsid w:val="00E805C5"/>
    <w:rsid w:val="00E80867"/>
    <w:rsid w:val="00E80A9B"/>
    <w:rsid w:val="00E80D1A"/>
    <w:rsid w:val="00E80D5A"/>
    <w:rsid w:val="00E80E32"/>
    <w:rsid w:val="00E80EBB"/>
    <w:rsid w:val="00E8127E"/>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5DA"/>
    <w:rsid w:val="00E83770"/>
    <w:rsid w:val="00E83837"/>
    <w:rsid w:val="00E8390F"/>
    <w:rsid w:val="00E83A0F"/>
    <w:rsid w:val="00E83E9C"/>
    <w:rsid w:val="00E8402B"/>
    <w:rsid w:val="00E840D0"/>
    <w:rsid w:val="00E84201"/>
    <w:rsid w:val="00E84272"/>
    <w:rsid w:val="00E842D2"/>
    <w:rsid w:val="00E842DB"/>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0DB"/>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378"/>
    <w:rsid w:val="00EA5420"/>
    <w:rsid w:val="00EA5CA3"/>
    <w:rsid w:val="00EA5CAC"/>
    <w:rsid w:val="00EA5DA1"/>
    <w:rsid w:val="00EA61D3"/>
    <w:rsid w:val="00EA636B"/>
    <w:rsid w:val="00EA656B"/>
    <w:rsid w:val="00EA6619"/>
    <w:rsid w:val="00EA6732"/>
    <w:rsid w:val="00EA6D2E"/>
    <w:rsid w:val="00EA6EC2"/>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54"/>
    <w:rsid w:val="00EB10B9"/>
    <w:rsid w:val="00EB175A"/>
    <w:rsid w:val="00EB18FC"/>
    <w:rsid w:val="00EB196C"/>
    <w:rsid w:val="00EB204E"/>
    <w:rsid w:val="00EB2693"/>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7F"/>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487"/>
    <w:rsid w:val="00EC6747"/>
    <w:rsid w:val="00EC6763"/>
    <w:rsid w:val="00EC678F"/>
    <w:rsid w:val="00EC6AAC"/>
    <w:rsid w:val="00EC6C54"/>
    <w:rsid w:val="00EC6E9E"/>
    <w:rsid w:val="00EC6ED9"/>
    <w:rsid w:val="00EC70DE"/>
    <w:rsid w:val="00EC7188"/>
    <w:rsid w:val="00EC74A5"/>
    <w:rsid w:val="00EC7643"/>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12"/>
    <w:rsid w:val="00ED3F25"/>
    <w:rsid w:val="00ED401D"/>
    <w:rsid w:val="00ED4815"/>
    <w:rsid w:val="00ED49D6"/>
    <w:rsid w:val="00ED4BF2"/>
    <w:rsid w:val="00ED4C81"/>
    <w:rsid w:val="00ED4EF5"/>
    <w:rsid w:val="00ED5079"/>
    <w:rsid w:val="00ED526C"/>
    <w:rsid w:val="00ED544F"/>
    <w:rsid w:val="00ED57A8"/>
    <w:rsid w:val="00ED5BB4"/>
    <w:rsid w:val="00ED6109"/>
    <w:rsid w:val="00ED619C"/>
    <w:rsid w:val="00ED66C2"/>
    <w:rsid w:val="00ED6901"/>
    <w:rsid w:val="00ED6A09"/>
    <w:rsid w:val="00ED6B12"/>
    <w:rsid w:val="00ED6C87"/>
    <w:rsid w:val="00ED6CAF"/>
    <w:rsid w:val="00ED6CB3"/>
    <w:rsid w:val="00ED6FCD"/>
    <w:rsid w:val="00ED7005"/>
    <w:rsid w:val="00ED714D"/>
    <w:rsid w:val="00ED7353"/>
    <w:rsid w:val="00ED737C"/>
    <w:rsid w:val="00ED76A1"/>
    <w:rsid w:val="00ED7784"/>
    <w:rsid w:val="00ED77A6"/>
    <w:rsid w:val="00ED7A7B"/>
    <w:rsid w:val="00ED7CBB"/>
    <w:rsid w:val="00ED7CF1"/>
    <w:rsid w:val="00EE0152"/>
    <w:rsid w:val="00EE0542"/>
    <w:rsid w:val="00EE0815"/>
    <w:rsid w:val="00EE0B19"/>
    <w:rsid w:val="00EE0B61"/>
    <w:rsid w:val="00EE0B72"/>
    <w:rsid w:val="00EE0F04"/>
    <w:rsid w:val="00EE0F4D"/>
    <w:rsid w:val="00EE0FA1"/>
    <w:rsid w:val="00EE109E"/>
    <w:rsid w:val="00EE1124"/>
    <w:rsid w:val="00EE17C9"/>
    <w:rsid w:val="00EE187A"/>
    <w:rsid w:val="00EE1D72"/>
    <w:rsid w:val="00EE2092"/>
    <w:rsid w:val="00EE225C"/>
    <w:rsid w:val="00EE28F8"/>
    <w:rsid w:val="00EE2AEC"/>
    <w:rsid w:val="00EE3064"/>
    <w:rsid w:val="00EE335F"/>
    <w:rsid w:val="00EE3470"/>
    <w:rsid w:val="00EE3506"/>
    <w:rsid w:val="00EE3A5C"/>
    <w:rsid w:val="00EE3CB5"/>
    <w:rsid w:val="00EE3F8A"/>
    <w:rsid w:val="00EE42C6"/>
    <w:rsid w:val="00EE44B2"/>
    <w:rsid w:val="00EE474B"/>
    <w:rsid w:val="00EE477B"/>
    <w:rsid w:val="00EE47A2"/>
    <w:rsid w:val="00EE47BB"/>
    <w:rsid w:val="00EE489A"/>
    <w:rsid w:val="00EE4C28"/>
    <w:rsid w:val="00EE4CD3"/>
    <w:rsid w:val="00EE4D4A"/>
    <w:rsid w:val="00EE4FE0"/>
    <w:rsid w:val="00EE5C0B"/>
    <w:rsid w:val="00EE5CAC"/>
    <w:rsid w:val="00EE5F39"/>
    <w:rsid w:val="00EE6159"/>
    <w:rsid w:val="00EE6CCD"/>
    <w:rsid w:val="00EE6E8C"/>
    <w:rsid w:val="00EE7086"/>
    <w:rsid w:val="00EE7281"/>
    <w:rsid w:val="00EE7476"/>
    <w:rsid w:val="00EE791C"/>
    <w:rsid w:val="00EE7A0C"/>
    <w:rsid w:val="00EE7A57"/>
    <w:rsid w:val="00EE7B9B"/>
    <w:rsid w:val="00EE7ED6"/>
    <w:rsid w:val="00EE7F07"/>
    <w:rsid w:val="00EE7FAF"/>
    <w:rsid w:val="00EF010A"/>
    <w:rsid w:val="00EF0376"/>
    <w:rsid w:val="00EF03E0"/>
    <w:rsid w:val="00EF0419"/>
    <w:rsid w:val="00EF0592"/>
    <w:rsid w:val="00EF05F8"/>
    <w:rsid w:val="00EF0697"/>
    <w:rsid w:val="00EF0998"/>
    <w:rsid w:val="00EF0A5A"/>
    <w:rsid w:val="00EF0BEE"/>
    <w:rsid w:val="00EF0F3E"/>
    <w:rsid w:val="00EF0F7C"/>
    <w:rsid w:val="00EF11C4"/>
    <w:rsid w:val="00EF1D02"/>
    <w:rsid w:val="00EF1EF8"/>
    <w:rsid w:val="00EF20ED"/>
    <w:rsid w:val="00EF2684"/>
    <w:rsid w:val="00EF2925"/>
    <w:rsid w:val="00EF2AA0"/>
    <w:rsid w:val="00EF2CF9"/>
    <w:rsid w:val="00EF2D06"/>
    <w:rsid w:val="00EF2DA1"/>
    <w:rsid w:val="00EF2EAF"/>
    <w:rsid w:val="00EF3070"/>
    <w:rsid w:val="00EF317A"/>
    <w:rsid w:val="00EF31E2"/>
    <w:rsid w:val="00EF3413"/>
    <w:rsid w:val="00EF3493"/>
    <w:rsid w:val="00EF36A3"/>
    <w:rsid w:val="00EF3D39"/>
    <w:rsid w:val="00EF3F24"/>
    <w:rsid w:val="00EF43E1"/>
    <w:rsid w:val="00EF43FC"/>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6C13"/>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D82"/>
    <w:rsid w:val="00F01DA2"/>
    <w:rsid w:val="00F01F30"/>
    <w:rsid w:val="00F01FC3"/>
    <w:rsid w:val="00F02183"/>
    <w:rsid w:val="00F0218B"/>
    <w:rsid w:val="00F02935"/>
    <w:rsid w:val="00F02949"/>
    <w:rsid w:val="00F02CCC"/>
    <w:rsid w:val="00F033CA"/>
    <w:rsid w:val="00F0369D"/>
    <w:rsid w:val="00F0377C"/>
    <w:rsid w:val="00F03A9B"/>
    <w:rsid w:val="00F03B46"/>
    <w:rsid w:val="00F03BEF"/>
    <w:rsid w:val="00F03DC7"/>
    <w:rsid w:val="00F04287"/>
    <w:rsid w:val="00F04609"/>
    <w:rsid w:val="00F0473C"/>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0C5"/>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A00"/>
    <w:rsid w:val="00F14C06"/>
    <w:rsid w:val="00F14E45"/>
    <w:rsid w:val="00F14FFF"/>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10"/>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A85"/>
    <w:rsid w:val="00F22CAD"/>
    <w:rsid w:val="00F22D71"/>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E1"/>
    <w:rsid w:val="00F266F4"/>
    <w:rsid w:val="00F26823"/>
    <w:rsid w:val="00F26A52"/>
    <w:rsid w:val="00F26E9E"/>
    <w:rsid w:val="00F2758A"/>
    <w:rsid w:val="00F2792C"/>
    <w:rsid w:val="00F27AA2"/>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BBD"/>
    <w:rsid w:val="00F34D39"/>
    <w:rsid w:val="00F34DEC"/>
    <w:rsid w:val="00F35241"/>
    <w:rsid w:val="00F3560C"/>
    <w:rsid w:val="00F35910"/>
    <w:rsid w:val="00F359F4"/>
    <w:rsid w:val="00F35B07"/>
    <w:rsid w:val="00F35BEF"/>
    <w:rsid w:val="00F35E10"/>
    <w:rsid w:val="00F35E96"/>
    <w:rsid w:val="00F3606C"/>
    <w:rsid w:val="00F36209"/>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AF"/>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188"/>
    <w:rsid w:val="00F432BA"/>
    <w:rsid w:val="00F4379E"/>
    <w:rsid w:val="00F43957"/>
    <w:rsid w:val="00F43A80"/>
    <w:rsid w:val="00F43D65"/>
    <w:rsid w:val="00F43FAD"/>
    <w:rsid w:val="00F4433B"/>
    <w:rsid w:val="00F44844"/>
    <w:rsid w:val="00F449B9"/>
    <w:rsid w:val="00F44AE7"/>
    <w:rsid w:val="00F44CB5"/>
    <w:rsid w:val="00F44CF4"/>
    <w:rsid w:val="00F44EB8"/>
    <w:rsid w:val="00F44ECA"/>
    <w:rsid w:val="00F44FBE"/>
    <w:rsid w:val="00F45185"/>
    <w:rsid w:val="00F451F3"/>
    <w:rsid w:val="00F45224"/>
    <w:rsid w:val="00F45D66"/>
    <w:rsid w:val="00F46014"/>
    <w:rsid w:val="00F46125"/>
    <w:rsid w:val="00F46177"/>
    <w:rsid w:val="00F461F6"/>
    <w:rsid w:val="00F4623C"/>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47E24"/>
    <w:rsid w:val="00F50109"/>
    <w:rsid w:val="00F5025B"/>
    <w:rsid w:val="00F50338"/>
    <w:rsid w:val="00F506C6"/>
    <w:rsid w:val="00F50A5C"/>
    <w:rsid w:val="00F50D7C"/>
    <w:rsid w:val="00F5121D"/>
    <w:rsid w:val="00F51393"/>
    <w:rsid w:val="00F516C5"/>
    <w:rsid w:val="00F51BCE"/>
    <w:rsid w:val="00F51BF4"/>
    <w:rsid w:val="00F51E85"/>
    <w:rsid w:val="00F52038"/>
    <w:rsid w:val="00F521AF"/>
    <w:rsid w:val="00F5221A"/>
    <w:rsid w:val="00F52407"/>
    <w:rsid w:val="00F5276F"/>
    <w:rsid w:val="00F527DD"/>
    <w:rsid w:val="00F528B2"/>
    <w:rsid w:val="00F52B51"/>
    <w:rsid w:val="00F52CC9"/>
    <w:rsid w:val="00F52E24"/>
    <w:rsid w:val="00F53170"/>
    <w:rsid w:val="00F531B2"/>
    <w:rsid w:val="00F5330C"/>
    <w:rsid w:val="00F536A8"/>
    <w:rsid w:val="00F53BE7"/>
    <w:rsid w:val="00F53D33"/>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14D"/>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34"/>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6EB8"/>
    <w:rsid w:val="00F77066"/>
    <w:rsid w:val="00F77163"/>
    <w:rsid w:val="00F77356"/>
    <w:rsid w:val="00F77611"/>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56"/>
    <w:rsid w:val="00F814BF"/>
    <w:rsid w:val="00F81898"/>
    <w:rsid w:val="00F81FBE"/>
    <w:rsid w:val="00F825D3"/>
    <w:rsid w:val="00F827E3"/>
    <w:rsid w:val="00F82825"/>
    <w:rsid w:val="00F82A05"/>
    <w:rsid w:val="00F82A4F"/>
    <w:rsid w:val="00F82A68"/>
    <w:rsid w:val="00F82D86"/>
    <w:rsid w:val="00F82E09"/>
    <w:rsid w:val="00F82F2C"/>
    <w:rsid w:val="00F82FC4"/>
    <w:rsid w:val="00F8307F"/>
    <w:rsid w:val="00F8323D"/>
    <w:rsid w:val="00F832DB"/>
    <w:rsid w:val="00F834DC"/>
    <w:rsid w:val="00F835CF"/>
    <w:rsid w:val="00F83845"/>
    <w:rsid w:val="00F83B17"/>
    <w:rsid w:val="00F83C4D"/>
    <w:rsid w:val="00F83D5A"/>
    <w:rsid w:val="00F83ECA"/>
    <w:rsid w:val="00F84129"/>
    <w:rsid w:val="00F8487C"/>
    <w:rsid w:val="00F848D9"/>
    <w:rsid w:val="00F84D5A"/>
    <w:rsid w:val="00F85361"/>
    <w:rsid w:val="00F85418"/>
    <w:rsid w:val="00F8549A"/>
    <w:rsid w:val="00F854C6"/>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8D2"/>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678"/>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E5E"/>
    <w:rsid w:val="00F96EA9"/>
    <w:rsid w:val="00F96F30"/>
    <w:rsid w:val="00F972FC"/>
    <w:rsid w:val="00F977B5"/>
    <w:rsid w:val="00F97AFF"/>
    <w:rsid w:val="00F97B04"/>
    <w:rsid w:val="00FA0133"/>
    <w:rsid w:val="00FA0405"/>
    <w:rsid w:val="00FA04B4"/>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736"/>
    <w:rsid w:val="00FA3814"/>
    <w:rsid w:val="00FA3912"/>
    <w:rsid w:val="00FA391A"/>
    <w:rsid w:val="00FA3BCF"/>
    <w:rsid w:val="00FA3F5C"/>
    <w:rsid w:val="00FA406F"/>
    <w:rsid w:val="00FA468F"/>
    <w:rsid w:val="00FA4B07"/>
    <w:rsid w:val="00FA4B83"/>
    <w:rsid w:val="00FA4BB6"/>
    <w:rsid w:val="00FA5133"/>
    <w:rsid w:val="00FA5256"/>
    <w:rsid w:val="00FA53B1"/>
    <w:rsid w:val="00FA54E9"/>
    <w:rsid w:val="00FA5C1D"/>
    <w:rsid w:val="00FA6026"/>
    <w:rsid w:val="00FA6145"/>
    <w:rsid w:val="00FA6679"/>
    <w:rsid w:val="00FA6734"/>
    <w:rsid w:val="00FA6B0D"/>
    <w:rsid w:val="00FA6C85"/>
    <w:rsid w:val="00FA6E14"/>
    <w:rsid w:val="00FA6F35"/>
    <w:rsid w:val="00FA7008"/>
    <w:rsid w:val="00FA7357"/>
    <w:rsid w:val="00FA739C"/>
    <w:rsid w:val="00FA7463"/>
    <w:rsid w:val="00FA788E"/>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34F"/>
    <w:rsid w:val="00FB646D"/>
    <w:rsid w:val="00FB65B8"/>
    <w:rsid w:val="00FB6909"/>
    <w:rsid w:val="00FB6C71"/>
    <w:rsid w:val="00FB6EF8"/>
    <w:rsid w:val="00FB6FA1"/>
    <w:rsid w:val="00FB7425"/>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06D"/>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9A6"/>
    <w:rsid w:val="00FC7AA0"/>
    <w:rsid w:val="00FD00C2"/>
    <w:rsid w:val="00FD01E1"/>
    <w:rsid w:val="00FD021B"/>
    <w:rsid w:val="00FD045C"/>
    <w:rsid w:val="00FD0488"/>
    <w:rsid w:val="00FD0DF5"/>
    <w:rsid w:val="00FD12BB"/>
    <w:rsid w:val="00FD13B3"/>
    <w:rsid w:val="00FD13CD"/>
    <w:rsid w:val="00FD1D82"/>
    <w:rsid w:val="00FD1E48"/>
    <w:rsid w:val="00FD21B1"/>
    <w:rsid w:val="00FD2244"/>
    <w:rsid w:val="00FD224D"/>
    <w:rsid w:val="00FD2430"/>
    <w:rsid w:val="00FD2726"/>
    <w:rsid w:val="00FD29DE"/>
    <w:rsid w:val="00FD2A48"/>
    <w:rsid w:val="00FD2A81"/>
    <w:rsid w:val="00FD2AD8"/>
    <w:rsid w:val="00FD2B1F"/>
    <w:rsid w:val="00FD2C2A"/>
    <w:rsid w:val="00FD2CFC"/>
    <w:rsid w:val="00FD2DD2"/>
    <w:rsid w:val="00FD2E8D"/>
    <w:rsid w:val="00FD34EC"/>
    <w:rsid w:val="00FD36D5"/>
    <w:rsid w:val="00FD370D"/>
    <w:rsid w:val="00FD3B21"/>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B14"/>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0B2"/>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27C"/>
    <w:rsid w:val="00FF34DD"/>
    <w:rsid w:val="00FF38BF"/>
    <w:rsid w:val="00FF3FC1"/>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9B7E69"/>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74609"/>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35AE4"/>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B0A2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73E8E"/>
    <w:rsid w:val="045B780E"/>
    <w:rsid w:val="045E58B9"/>
    <w:rsid w:val="04627DC2"/>
    <w:rsid w:val="04630BA7"/>
    <w:rsid w:val="04653F41"/>
    <w:rsid w:val="046754EB"/>
    <w:rsid w:val="046A149D"/>
    <w:rsid w:val="046A75AA"/>
    <w:rsid w:val="046A779E"/>
    <w:rsid w:val="047906F6"/>
    <w:rsid w:val="047A7C88"/>
    <w:rsid w:val="047D3BDA"/>
    <w:rsid w:val="048018FF"/>
    <w:rsid w:val="04845678"/>
    <w:rsid w:val="048500C7"/>
    <w:rsid w:val="04851105"/>
    <w:rsid w:val="048707FB"/>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574F8"/>
    <w:rsid w:val="05A85F76"/>
    <w:rsid w:val="05AC3CD4"/>
    <w:rsid w:val="05AE02AC"/>
    <w:rsid w:val="05AF0975"/>
    <w:rsid w:val="05AF3B52"/>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17BCB"/>
    <w:rsid w:val="06236F2E"/>
    <w:rsid w:val="062671C4"/>
    <w:rsid w:val="062750DC"/>
    <w:rsid w:val="062C5BDF"/>
    <w:rsid w:val="062D0004"/>
    <w:rsid w:val="062D1201"/>
    <w:rsid w:val="062D4104"/>
    <w:rsid w:val="062F5DFD"/>
    <w:rsid w:val="06303A88"/>
    <w:rsid w:val="0632752A"/>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27AF8"/>
    <w:rsid w:val="06D51315"/>
    <w:rsid w:val="06D626BD"/>
    <w:rsid w:val="06DB1213"/>
    <w:rsid w:val="06DD1E44"/>
    <w:rsid w:val="06DF357C"/>
    <w:rsid w:val="06E32CCE"/>
    <w:rsid w:val="06E64FA1"/>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CC1DB5"/>
    <w:rsid w:val="07D04432"/>
    <w:rsid w:val="07D20C9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A60"/>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D2800"/>
    <w:rsid w:val="08FF0667"/>
    <w:rsid w:val="09011059"/>
    <w:rsid w:val="090229ED"/>
    <w:rsid w:val="09033CCF"/>
    <w:rsid w:val="090476FB"/>
    <w:rsid w:val="0905080E"/>
    <w:rsid w:val="0905247A"/>
    <w:rsid w:val="09056D6C"/>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13DB7"/>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67149"/>
    <w:rsid w:val="0A4A7325"/>
    <w:rsid w:val="0A4B759E"/>
    <w:rsid w:val="0A540C8C"/>
    <w:rsid w:val="0A55165B"/>
    <w:rsid w:val="0A586301"/>
    <w:rsid w:val="0A591B60"/>
    <w:rsid w:val="0A5D20F1"/>
    <w:rsid w:val="0A5E54BB"/>
    <w:rsid w:val="0A5E75B0"/>
    <w:rsid w:val="0A60703F"/>
    <w:rsid w:val="0A645DAC"/>
    <w:rsid w:val="0A651745"/>
    <w:rsid w:val="0A6652C2"/>
    <w:rsid w:val="0A68369A"/>
    <w:rsid w:val="0A693AE7"/>
    <w:rsid w:val="0A695F75"/>
    <w:rsid w:val="0A6B34F3"/>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AE0569"/>
    <w:rsid w:val="0AB12265"/>
    <w:rsid w:val="0AB7726A"/>
    <w:rsid w:val="0AB80BC9"/>
    <w:rsid w:val="0ABA06F0"/>
    <w:rsid w:val="0ABA52E8"/>
    <w:rsid w:val="0ABE7BB8"/>
    <w:rsid w:val="0ABF6B82"/>
    <w:rsid w:val="0AC42A22"/>
    <w:rsid w:val="0AC8144F"/>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96B4F"/>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0A0B"/>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2D3C"/>
    <w:rsid w:val="0D1F5FE0"/>
    <w:rsid w:val="0D292186"/>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0D1113"/>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37D69"/>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66FA6"/>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30A50"/>
    <w:rsid w:val="13251A5C"/>
    <w:rsid w:val="132A4818"/>
    <w:rsid w:val="132C1BD4"/>
    <w:rsid w:val="132F52BF"/>
    <w:rsid w:val="1330793A"/>
    <w:rsid w:val="13335E63"/>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03487"/>
    <w:rsid w:val="13926ADA"/>
    <w:rsid w:val="13953760"/>
    <w:rsid w:val="13954F2D"/>
    <w:rsid w:val="13A12AB3"/>
    <w:rsid w:val="13A6195C"/>
    <w:rsid w:val="13A64404"/>
    <w:rsid w:val="13A831CD"/>
    <w:rsid w:val="13AA1B19"/>
    <w:rsid w:val="13AD64C6"/>
    <w:rsid w:val="13B029C9"/>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636B7"/>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80263"/>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762F4"/>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B2758"/>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D7FB3"/>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6C2"/>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C56A9"/>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24AC0"/>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33415"/>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37D97"/>
    <w:rsid w:val="19764163"/>
    <w:rsid w:val="19771A54"/>
    <w:rsid w:val="1979435A"/>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E4F8A"/>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340CC"/>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AE584D"/>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0F39CD"/>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A08C4"/>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C780B"/>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0AF0"/>
    <w:rsid w:val="1F313C25"/>
    <w:rsid w:val="1F37188E"/>
    <w:rsid w:val="1F3825EC"/>
    <w:rsid w:val="1F3956A4"/>
    <w:rsid w:val="1F3A7AF6"/>
    <w:rsid w:val="1F3C0A66"/>
    <w:rsid w:val="1F3C7DAD"/>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81B"/>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23873"/>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C75A6"/>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04D84"/>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B3427"/>
    <w:rsid w:val="225C0582"/>
    <w:rsid w:val="225C4BA6"/>
    <w:rsid w:val="225C59A2"/>
    <w:rsid w:val="225F2091"/>
    <w:rsid w:val="22624072"/>
    <w:rsid w:val="22652BE8"/>
    <w:rsid w:val="22656D5E"/>
    <w:rsid w:val="226673BC"/>
    <w:rsid w:val="2268179B"/>
    <w:rsid w:val="2269234C"/>
    <w:rsid w:val="226A7A21"/>
    <w:rsid w:val="226D1707"/>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14471"/>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632C6"/>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623CA"/>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3CBA"/>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C23EE"/>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13485"/>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62224"/>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B12C6"/>
    <w:rsid w:val="27FE4675"/>
    <w:rsid w:val="27FE4D9C"/>
    <w:rsid w:val="27FF1453"/>
    <w:rsid w:val="27FF37CD"/>
    <w:rsid w:val="27FF51F3"/>
    <w:rsid w:val="28003F0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7D327A"/>
    <w:rsid w:val="2885175B"/>
    <w:rsid w:val="28877C5E"/>
    <w:rsid w:val="2888118C"/>
    <w:rsid w:val="28882616"/>
    <w:rsid w:val="28925DD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13AB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9555D"/>
    <w:rsid w:val="297C2F07"/>
    <w:rsid w:val="297C421C"/>
    <w:rsid w:val="29800418"/>
    <w:rsid w:val="298404B0"/>
    <w:rsid w:val="29856B2E"/>
    <w:rsid w:val="29874128"/>
    <w:rsid w:val="298C027D"/>
    <w:rsid w:val="298D2834"/>
    <w:rsid w:val="298D5EDC"/>
    <w:rsid w:val="298E2C23"/>
    <w:rsid w:val="298E418F"/>
    <w:rsid w:val="29902FC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296D"/>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5BB1"/>
    <w:rsid w:val="2BC47CBF"/>
    <w:rsid w:val="2BC66911"/>
    <w:rsid w:val="2BCB34B7"/>
    <w:rsid w:val="2BCC3285"/>
    <w:rsid w:val="2BCC4FF6"/>
    <w:rsid w:val="2BCC67CC"/>
    <w:rsid w:val="2BCF3038"/>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3142D"/>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82D17"/>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A477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73B05"/>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55FDE"/>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2FFF14C0"/>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46E81"/>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41D3"/>
    <w:rsid w:val="312564AE"/>
    <w:rsid w:val="31260443"/>
    <w:rsid w:val="3127437E"/>
    <w:rsid w:val="31280F0C"/>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A0F70"/>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709CA"/>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30DAD"/>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94FA3"/>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971D5"/>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485B"/>
    <w:rsid w:val="353E714D"/>
    <w:rsid w:val="354719C6"/>
    <w:rsid w:val="35487B8F"/>
    <w:rsid w:val="354E2EDB"/>
    <w:rsid w:val="35520B14"/>
    <w:rsid w:val="355249FD"/>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0600B"/>
    <w:rsid w:val="35A44B3D"/>
    <w:rsid w:val="35A50703"/>
    <w:rsid w:val="35A56FF2"/>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1F69"/>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12BD3"/>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53EB5"/>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C5F41"/>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C0D7B"/>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027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A10D3"/>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817BF"/>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098"/>
    <w:rsid w:val="393373A1"/>
    <w:rsid w:val="39347E12"/>
    <w:rsid w:val="39361603"/>
    <w:rsid w:val="39362A9C"/>
    <w:rsid w:val="393825C4"/>
    <w:rsid w:val="3938585B"/>
    <w:rsid w:val="393B0118"/>
    <w:rsid w:val="393E399D"/>
    <w:rsid w:val="393F4A55"/>
    <w:rsid w:val="394367AC"/>
    <w:rsid w:val="39471139"/>
    <w:rsid w:val="39485F98"/>
    <w:rsid w:val="39491E27"/>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62F1F"/>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57E6"/>
    <w:rsid w:val="3AE666BB"/>
    <w:rsid w:val="3AEA6F2D"/>
    <w:rsid w:val="3AEB4DC3"/>
    <w:rsid w:val="3AEC78E4"/>
    <w:rsid w:val="3AED7F4D"/>
    <w:rsid w:val="3AEE2BBB"/>
    <w:rsid w:val="3AF01DD9"/>
    <w:rsid w:val="3AF026D5"/>
    <w:rsid w:val="3AF14C1B"/>
    <w:rsid w:val="3AF17025"/>
    <w:rsid w:val="3AF71619"/>
    <w:rsid w:val="3AF93903"/>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0CD1"/>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2E5D4C"/>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30A05"/>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51C39"/>
    <w:rsid w:val="3CD86787"/>
    <w:rsid w:val="3CDA647B"/>
    <w:rsid w:val="3CDE3DFA"/>
    <w:rsid w:val="3CE04A45"/>
    <w:rsid w:val="3CE06825"/>
    <w:rsid w:val="3CE22769"/>
    <w:rsid w:val="3CE3559C"/>
    <w:rsid w:val="3CE4556F"/>
    <w:rsid w:val="3CE578FF"/>
    <w:rsid w:val="3CE777DA"/>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E7CA0"/>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9621D"/>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62AE7"/>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65CAF"/>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A07A5"/>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242D"/>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13EAB"/>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55C75"/>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2664E"/>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5B1A1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23F4B"/>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56730"/>
    <w:rsid w:val="43B66DF2"/>
    <w:rsid w:val="43BE5957"/>
    <w:rsid w:val="43BF144D"/>
    <w:rsid w:val="43BF2D22"/>
    <w:rsid w:val="43C058CC"/>
    <w:rsid w:val="43C57353"/>
    <w:rsid w:val="43C73F0C"/>
    <w:rsid w:val="43C81533"/>
    <w:rsid w:val="43C84321"/>
    <w:rsid w:val="43C87F9E"/>
    <w:rsid w:val="43C97EBF"/>
    <w:rsid w:val="43CB6CDE"/>
    <w:rsid w:val="43CC512E"/>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A0B4A"/>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36A5D"/>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3B2E"/>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3C4639"/>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0764B"/>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85505"/>
    <w:rsid w:val="47A91A7D"/>
    <w:rsid w:val="47A91F2D"/>
    <w:rsid w:val="47AF0807"/>
    <w:rsid w:val="47AF7459"/>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20C82"/>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51034"/>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A535A"/>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1CEF"/>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BF72FDF"/>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6F009E"/>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304246"/>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A63CA"/>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155BC7"/>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04F55"/>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820D5"/>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57EB"/>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13F8C"/>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80913"/>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256F4"/>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0BCE"/>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5F6"/>
    <w:rsid w:val="55470886"/>
    <w:rsid w:val="554B4ABB"/>
    <w:rsid w:val="554F2510"/>
    <w:rsid w:val="55523180"/>
    <w:rsid w:val="55551C48"/>
    <w:rsid w:val="55561D87"/>
    <w:rsid w:val="5557130C"/>
    <w:rsid w:val="555D65E0"/>
    <w:rsid w:val="555D6716"/>
    <w:rsid w:val="555D7B61"/>
    <w:rsid w:val="556017A1"/>
    <w:rsid w:val="55624C66"/>
    <w:rsid w:val="556711D8"/>
    <w:rsid w:val="556906FB"/>
    <w:rsid w:val="556A3F3C"/>
    <w:rsid w:val="556B6656"/>
    <w:rsid w:val="556C101A"/>
    <w:rsid w:val="556C7A6C"/>
    <w:rsid w:val="556E7FB9"/>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A5AA2"/>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46BCE"/>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55AF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158B"/>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C5C1A"/>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69D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622F3"/>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674DE"/>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708CA"/>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3F064E"/>
    <w:rsid w:val="5B430E1D"/>
    <w:rsid w:val="5B440C1E"/>
    <w:rsid w:val="5B474B62"/>
    <w:rsid w:val="5B4B35D6"/>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11FE"/>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0E3A"/>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1127"/>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53C60"/>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82A1C"/>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93FAA"/>
    <w:rsid w:val="60DA0804"/>
    <w:rsid w:val="60DC14CC"/>
    <w:rsid w:val="60DE6B1A"/>
    <w:rsid w:val="60E65742"/>
    <w:rsid w:val="60EA19A3"/>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82AD9"/>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A1574"/>
    <w:rsid w:val="61AF3C45"/>
    <w:rsid w:val="61B02AA7"/>
    <w:rsid w:val="61B420AD"/>
    <w:rsid w:val="61B52C5B"/>
    <w:rsid w:val="61B56192"/>
    <w:rsid w:val="61B647F1"/>
    <w:rsid w:val="61B71EF0"/>
    <w:rsid w:val="61B74914"/>
    <w:rsid w:val="61BA7E1F"/>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96A7C"/>
    <w:rsid w:val="62BA1D9C"/>
    <w:rsid w:val="62BB66F3"/>
    <w:rsid w:val="62BD5F3C"/>
    <w:rsid w:val="62BD6C68"/>
    <w:rsid w:val="62BE0042"/>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619A2"/>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1E3B"/>
    <w:rsid w:val="65412072"/>
    <w:rsid w:val="65454A6C"/>
    <w:rsid w:val="65454B28"/>
    <w:rsid w:val="65480DED"/>
    <w:rsid w:val="654A37E4"/>
    <w:rsid w:val="654B20B5"/>
    <w:rsid w:val="654C56E3"/>
    <w:rsid w:val="654E0733"/>
    <w:rsid w:val="654F3502"/>
    <w:rsid w:val="65532D3E"/>
    <w:rsid w:val="65584A8B"/>
    <w:rsid w:val="655959B1"/>
    <w:rsid w:val="655A286C"/>
    <w:rsid w:val="655A6630"/>
    <w:rsid w:val="65610CE1"/>
    <w:rsid w:val="65612598"/>
    <w:rsid w:val="65673758"/>
    <w:rsid w:val="6569737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9798A"/>
    <w:rsid w:val="65CC2134"/>
    <w:rsid w:val="65CF204F"/>
    <w:rsid w:val="65D029A5"/>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B3058"/>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5625"/>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1264C"/>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54975"/>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1189"/>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90C01"/>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31B46"/>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B527C"/>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754B9"/>
    <w:rsid w:val="6D0C3FB5"/>
    <w:rsid w:val="6D0C719F"/>
    <w:rsid w:val="6D0D204B"/>
    <w:rsid w:val="6D0D52ED"/>
    <w:rsid w:val="6D0D6D08"/>
    <w:rsid w:val="6D0E611E"/>
    <w:rsid w:val="6D107817"/>
    <w:rsid w:val="6D115425"/>
    <w:rsid w:val="6D127907"/>
    <w:rsid w:val="6D134C1C"/>
    <w:rsid w:val="6D141A56"/>
    <w:rsid w:val="6D150F0E"/>
    <w:rsid w:val="6D165311"/>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D2ACB"/>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D25A8"/>
    <w:rsid w:val="6EBD2DFD"/>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442"/>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73C7B"/>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869F8"/>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3FB9"/>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C7F37"/>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2583F"/>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1507"/>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0164"/>
    <w:rsid w:val="753B1C65"/>
    <w:rsid w:val="753E6974"/>
    <w:rsid w:val="75414E11"/>
    <w:rsid w:val="75425B7B"/>
    <w:rsid w:val="75484A46"/>
    <w:rsid w:val="755068B1"/>
    <w:rsid w:val="75522400"/>
    <w:rsid w:val="75535516"/>
    <w:rsid w:val="7558021F"/>
    <w:rsid w:val="75582025"/>
    <w:rsid w:val="75594EA8"/>
    <w:rsid w:val="755A02E1"/>
    <w:rsid w:val="755A45B1"/>
    <w:rsid w:val="755A5A0C"/>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02756"/>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0E3C"/>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33CC"/>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07164"/>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95C71"/>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BE2401"/>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832C4"/>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2D47"/>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BF0393"/>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909CC"/>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CC5B32"/>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AB6E13"/>
    <w:rsid w:val="7EB20A76"/>
    <w:rsid w:val="7EB2394E"/>
    <w:rsid w:val="7EB66BAC"/>
    <w:rsid w:val="7EBD7AF1"/>
    <w:rsid w:val="7EBE6A16"/>
    <w:rsid w:val="7EC02526"/>
    <w:rsid w:val="7EC06781"/>
    <w:rsid w:val="7EC23890"/>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Autospacing="1" w:after="50" w:afterLines="50"/>
    </w:pPr>
    <w:rPr>
      <w:rFonts w:ascii="Times New Roman" w:hAnsi="Times New Roman" w:eastAsia="Times New Roman" w:cs="Times New Roman"/>
      <w:szCs w:val="24"/>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before="50" w:beforeLines="50" w:beforeAutospacing="0" w:line="360" w:lineRule="auto"/>
      <w:ind w:left="431" w:hanging="431"/>
      <w:jc w:val="both"/>
      <w:outlineLvl w:val="0"/>
    </w:pPr>
    <w:rPr>
      <w:rFonts w:eastAsia="黑体"/>
      <w:b/>
      <w:bCs/>
      <w:sz w:val="30"/>
      <w:szCs w:val="30"/>
      <w:lang w:val="zh-CN"/>
    </w:rPr>
  </w:style>
  <w:style w:type="paragraph" w:styleId="3">
    <w:name w:val="heading 2"/>
    <w:basedOn w:val="2"/>
    <w:next w:val="1"/>
    <w:link w:val="36"/>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8"/>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7"/>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1"/>
    <w:qFormat/>
    <w:uiPriority w:val="0"/>
    <w:pPr>
      <w:outlineLvl w:val="4"/>
    </w:pPr>
    <w:rPr>
      <w:szCs w:val="24"/>
    </w:rPr>
  </w:style>
  <w:style w:type="paragraph" w:styleId="7">
    <w:name w:val="heading 6"/>
    <w:basedOn w:val="1"/>
    <w:next w:val="1"/>
    <w:link w:val="96"/>
    <w:qFormat/>
    <w:uiPriority w:val="9"/>
    <w:pPr>
      <w:keepNext/>
      <w:keepLines/>
      <w:numPr>
        <w:ilvl w:val="5"/>
        <w:numId w:val="1"/>
      </w:numPr>
      <w:tabs>
        <w:tab w:val="left" w:pos="432"/>
      </w:tabs>
      <w:adjustRightInd w:val="0"/>
      <w:spacing w:before="240" w:beforeLines="30" w:beforeAutospacing="0" w:after="64" w:afterLines="30" w:line="320" w:lineRule="auto"/>
      <w:jc w:val="both"/>
      <w:outlineLvl w:val="5"/>
    </w:pPr>
    <w:rPr>
      <w:rFonts w:ascii="Cambria" w:hAnsi="Cambria" w:cs="黑体"/>
      <w:b/>
      <w:bCs/>
    </w:rPr>
  </w:style>
  <w:style w:type="paragraph" w:styleId="8">
    <w:name w:val="heading 7"/>
    <w:basedOn w:val="1"/>
    <w:next w:val="1"/>
    <w:link w:val="87"/>
    <w:qFormat/>
    <w:uiPriority w:val="9"/>
    <w:pPr>
      <w:keepNext/>
      <w:keepLines/>
      <w:numPr>
        <w:ilvl w:val="6"/>
        <w:numId w:val="1"/>
      </w:numPr>
      <w:tabs>
        <w:tab w:val="left" w:pos="432"/>
      </w:tabs>
      <w:adjustRightInd w:val="0"/>
      <w:spacing w:before="240" w:beforeLines="30" w:beforeAutospacing="0" w:after="64" w:afterLines="30" w:line="320" w:lineRule="auto"/>
      <w:jc w:val="both"/>
      <w:outlineLvl w:val="6"/>
    </w:pPr>
    <w:rPr>
      <w:b/>
      <w:bCs/>
    </w:rPr>
  </w:style>
  <w:style w:type="paragraph" w:styleId="9">
    <w:name w:val="heading 8"/>
    <w:basedOn w:val="1"/>
    <w:next w:val="1"/>
    <w:link w:val="104"/>
    <w:qFormat/>
    <w:uiPriority w:val="9"/>
    <w:pPr>
      <w:keepNext/>
      <w:keepLines/>
      <w:numPr>
        <w:ilvl w:val="7"/>
        <w:numId w:val="1"/>
      </w:numPr>
      <w:tabs>
        <w:tab w:val="left" w:pos="432"/>
      </w:tabs>
      <w:adjustRightInd w:val="0"/>
      <w:spacing w:before="240" w:beforeLines="30" w:beforeAutospacing="0" w:after="64" w:afterLines="30" w:line="320" w:lineRule="auto"/>
      <w:jc w:val="both"/>
      <w:outlineLvl w:val="7"/>
    </w:pPr>
    <w:rPr>
      <w:rFonts w:ascii="Cambria" w:hAnsi="Cambria" w:cs="黑体"/>
    </w:rPr>
  </w:style>
  <w:style w:type="paragraph" w:styleId="10">
    <w:name w:val="heading 9"/>
    <w:basedOn w:val="1"/>
    <w:next w:val="1"/>
    <w:link w:val="98"/>
    <w:qFormat/>
    <w:uiPriority w:val="9"/>
    <w:pPr>
      <w:keepNext/>
      <w:keepLines/>
      <w:numPr>
        <w:ilvl w:val="8"/>
        <w:numId w:val="1"/>
      </w:numPr>
      <w:tabs>
        <w:tab w:val="left" w:pos="432"/>
      </w:tabs>
      <w:adjustRightInd w:val="0"/>
      <w:spacing w:before="240" w:beforeLines="30" w:beforeAutospacing="0" w:after="64" w:afterLines="30" w:line="320" w:lineRule="auto"/>
      <w:jc w:val="both"/>
      <w:outlineLvl w:val="8"/>
    </w:pPr>
    <w:rPr>
      <w:rFonts w:ascii="Cambria" w:hAnsi="Cambria" w:cs="黑体"/>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adjustRightInd w:val="0"/>
      <w:spacing w:before="30" w:beforeLines="30" w:beforeAutospacing="0" w:after="30" w:afterLines="30" w:line="264" w:lineRule="auto"/>
      <w:ind w:left="100" w:leftChars="400" w:hanging="200" w:hangingChars="200"/>
      <w:contextualSpacing/>
      <w:jc w:val="both"/>
    </w:pPr>
    <w:rPr>
      <w:szCs w:val="22"/>
    </w:rPr>
  </w:style>
  <w:style w:type="paragraph" w:styleId="12">
    <w:name w:val="Normal Indent"/>
    <w:basedOn w:val="1"/>
    <w:qFormat/>
    <w:uiPriority w:val="0"/>
    <w:pPr>
      <w:widowControl w:val="0"/>
      <w:adjustRightInd w:val="0"/>
      <w:spacing w:before="30" w:beforeLines="30" w:beforeAutospacing="0" w:after="30" w:afterLines="30" w:line="264" w:lineRule="auto"/>
      <w:ind w:firstLine="420"/>
      <w:jc w:val="both"/>
    </w:pPr>
    <w:rPr>
      <w:kern w:val="2"/>
      <w:sz w:val="21"/>
      <w:szCs w:val="20"/>
    </w:rPr>
  </w:style>
  <w:style w:type="paragraph" w:styleId="13">
    <w:name w:val="caption"/>
    <w:basedOn w:val="1"/>
    <w:next w:val="1"/>
    <w:link w:val="102"/>
    <w:qFormat/>
    <w:uiPriority w:val="0"/>
    <w:pPr>
      <w:tabs>
        <w:tab w:val="left" w:pos="1418"/>
      </w:tabs>
      <w:adjustRightInd w:val="0"/>
      <w:spacing w:before="120" w:beforeLines="30" w:beforeAutospacing="0" w:after="120" w:afterLines="30" w:line="264" w:lineRule="auto"/>
      <w:jc w:val="both"/>
    </w:pPr>
    <w:rPr>
      <w:b/>
      <w:bCs/>
      <w:szCs w:val="20"/>
    </w:rPr>
  </w:style>
  <w:style w:type="paragraph" w:styleId="14">
    <w:name w:val="Document Map"/>
    <w:basedOn w:val="1"/>
    <w:link w:val="112"/>
    <w:unhideWhenUsed/>
    <w:qFormat/>
    <w:uiPriority w:val="0"/>
    <w:pPr>
      <w:adjustRightInd w:val="0"/>
      <w:spacing w:before="30" w:beforeLines="30" w:beforeAutospacing="0" w:after="30" w:afterLines="30" w:line="264" w:lineRule="auto"/>
      <w:jc w:val="both"/>
    </w:pPr>
    <w:rPr>
      <w:rFonts w:ascii="宋体"/>
      <w:sz w:val="18"/>
      <w:szCs w:val="18"/>
    </w:rPr>
  </w:style>
  <w:style w:type="paragraph" w:styleId="15">
    <w:name w:val="annotation text"/>
    <w:basedOn w:val="1"/>
    <w:link w:val="107"/>
    <w:unhideWhenUsed/>
    <w:qFormat/>
    <w:uiPriority w:val="99"/>
    <w:pPr>
      <w:adjustRightInd w:val="0"/>
      <w:spacing w:before="30" w:beforeLines="30" w:beforeAutospacing="0" w:after="30" w:afterLines="30" w:line="264" w:lineRule="auto"/>
      <w:jc w:val="both"/>
    </w:pPr>
    <w:rPr>
      <w:szCs w:val="20"/>
    </w:rPr>
  </w:style>
  <w:style w:type="paragraph" w:styleId="16">
    <w:name w:val="Body Text"/>
    <w:basedOn w:val="1"/>
    <w:link w:val="89"/>
    <w:qFormat/>
    <w:uiPriority w:val="0"/>
    <w:pPr>
      <w:widowControl w:val="0"/>
      <w:adjustRightInd w:val="0"/>
      <w:spacing w:before="30" w:beforeLines="30" w:beforeAutospacing="0" w:after="30" w:afterLines="30" w:line="264" w:lineRule="auto"/>
      <w:jc w:val="both"/>
    </w:pPr>
    <w:rPr>
      <w:color w:val="000000"/>
      <w:kern w:val="2"/>
      <w:sz w:val="21"/>
      <w:szCs w:val="20"/>
    </w:rPr>
  </w:style>
  <w:style w:type="paragraph" w:styleId="17">
    <w:name w:val="Body Text Indent"/>
    <w:basedOn w:val="1"/>
    <w:link w:val="103"/>
    <w:unhideWhenUsed/>
    <w:qFormat/>
    <w:uiPriority w:val="99"/>
    <w:pPr>
      <w:adjustRightInd w:val="0"/>
      <w:spacing w:before="30" w:beforeLines="30" w:beforeAutospacing="0" w:after="120" w:afterLines="30" w:line="264" w:lineRule="auto"/>
      <w:ind w:left="360"/>
      <w:jc w:val="both"/>
    </w:pPr>
    <w:rPr>
      <w:szCs w:val="22"/>
    </w:rPr>
  </w:style>
  <w:style w:type="paragraph" w:styleId="18">
    <w:name w:val="List Number 3"/>
    <w:basedOn w:val="1"/>
    <w:qFormat/>
    <w:uiPriority w:val="0"/>
    <w:pPr>
      <w:numPr>
        <w:ilvl w:val="0"/>
        <w:numId w:val="3"/>
      </w:numPr>
      <w:overflowPunct w:val="0"/>
      <w:autoSpaceDE w:val="0"/>
      <w:autoSpaceDN w:val="0"/>
      <w:adjustRightInd w:val="0"/>
      <w:snapToGrid/>
      <w:spacing w:beforeAutospacing="0" w:after="180" w:afterLines="0"/>
      <w:textAlignment w:val="baseline"/>
    </w:pPr>
    <w:rPr>
      <w:rFonts w:eastAsia="宋体"/>
      <w:szCs w:val="20"/>
      <w:lang w:val="en-GB" w:eastAsia="en-US"/>
    </w:rPr>
  </w:style>
  <w:style w:type="paragraph" w:styleId="19">
    <w:name w:val="List 2"/>
    <w:basedOn w:val="1"/>
    <w:unhideWhenUsed/>
    <w:qFormat/>
    <w:uiPriority w:val="99"/>
    <w:pPr>
      <w:ind w:left="851"/>
    </w:pPr>
  </w:style>
  <w:style w:type="paragraph" w:styleId="20">
    <w:name w:val="Plain Text"/>
    <w:basedOn w:val="1"/>
    <w:link w:val="99"/>
    <w:unhideWhenUsed/>
    <w:qFormat/>
    <w:uiPriority w:val="99"/>
    <w:pPr>
      <w:adjustRightInd w:val="0"/>
      <w:spacing w:before="30" w:beforeLines="30" w:beforeAutospacing="0" w:after="30" w:afterLines="30" w:line="264" w:lineRule="auto"/>
      <w:jc w:val="both"/>
    </w:pPr>
    <w:rPr>
      <w:rFonts w:eastAsia="Calibri"/>
      <w:szCs w:val="21"/>
      <w:lang w:eastAsia="en-US"/>
    </w:rPr>
  </w:style>
  <w:style w:type="paragraph" w:styleId="21">
    <w:name w:val="Date"/>
    <w:basedOn w:val="1"/>
    <w:next w:val="1"/>
    <w:link w:val="90"/>
    <w:unhideWhenUsed/>
    <w:qFormat/>
    <w:uiPriority w:val="99"/>
    <w:pPr>
      <w:adjustRightInd w:val="0"/>
      <w:spacing w:before="30" w:beforeLines="30" w:beforeAutospacing="0" w:after="30" w:afterLines="30" w:line="264" w:lineRule="auto"/>
      <w:ind w:left="100" w:leftChars="2500"/>
      <w:jc w:val="both"/>
    </w:pPr>
    <w:rPr>
      <w:szCs w:val="22"/>
    </w:rPr>
  </w:style>
  <w:style w:type="paragraph" w:styleId="22">
    <w:name w:val="Balloon Text"/>
    <w:basedOn w:val="1"/>
    <w:link w:val="35"/>
    <w:unhideWhenUsed/>
    <w:qFormat/>
    <w:uiPriority w:val="99"/>
    <w:pPr>
      <w:adjustRightInd w:val="0"/>
      <w:spacing w:before="30" w:beforeLines="30" w:beforeAutospacing="0" w:after="30" w:afterLines="30" w:line="264" w:lineRule="auto"/>
      <w:jc w:val="both"/>
    </w:pPr>
    <w:rPr>
      <w:rFonts w:ascii="Tahoma" w:hAnsi="Tahoma"/>
      <w:sz w:val="16"/>
      <w:szCs w:val="16"/>
    </w:rPr>
  </w:style>
  <w:style w:type="paragraph" w:styleId="23">
    <w:name w:val="footer"/>
    <w:basedOn w:val="1"/>
    <w:link w:val="106"/>
    <w:unhideWhenUsed/>
    <w:qFormat/>
    <w:uiPriority w:val="99"/>
    <w:pPr>
      <w:tabs>
        <w:tab w:val="center" w:pos="4153"/>
        <w:tab w:val="right" w:pos="8306"/>
      </w:tabs>
      <w:adjustRightInd w:val="0"/>
      <w:spacing w:before="30" w:beforeLines="30" w:beforeAutospacing="0" w:after="30" w:afterLines="30" w:line="264" w:lineRule="auto"/>
      <w:jc w:val="both"/>
    </w:pPr>
    <w:rPr>
      <w:sz w:val="18"/>
      <w:szCs w:val="18"/>
    </w:rPr>
  </w:style>
  <w:style w:type="paragraph" w:styleId="24">
    <w:name w:val="header"/>
    <w:basedOn w:val="1"/>
    <w:link w:val="94"/>
    <w:qFormat/>
    <w:uiPriority w:val="0"/>
    <w:pPr>
      <w:tabs>
        <w:tab w:val="center" w:pos="4536"/>
        <w:tab w:val="right" w:pos="9072"/>
      </w:tabs>
      <w:adjustRightInd w:val="0"/>
      <w:spacing w:before="30" w:beforeLines="30" w:beforeAutospacing="0" w:after="30" w:afterLines="30" w:line="264" w:lineRule="auto"/>
      <w:jc w:val="both"/>
    </w:pPr>
    <w:rPr>
      <w:rFonts w:ascii="Arial" w:hAnsi="Arial" w:eastAsia="MS Mincho"/>
      <w:b/>
      <w:lang w:eastAsia="en-US"/>
    </w:rPr>
  </w:style>
  <w:style w:type="paragraph" w:styleId="25">
    <w:name w:val="List"/>
    <w:basedOn w:val="1"/>
    <w:unhideWhenUsed/>
    <w:qFormat/>
    <w:uiPriority w:val="99"/>
    <w:pPr>
      <w:adjustRightInd w:val="0"/>
      <w:spacing w:before="30" w:beforeLines="30" w:beforeAutospacing="0" w:after="30" w:afterLines="30" w:line="264" w:lineRule="auto"/>
      <w:ind w:left="568" w:hanging="284"/>
      <w:jc w:val="both"/>
    </w:pPr>
    <w:rPr>
      <w:szCs w:val="22"/>
    </w:rPr>
  </w:style>
  <w:style w:type="paragraph" w:styleId="26">
    <w:name w:val="Normal (Web)"/>
    <w:basedOn w:val="1"/>
    <w:unhideWhenUsed/>
    <w:qFormat/>
    <w:uiPriority w:val="99"/>
    <w:pPr>
      <w:adjustRightInd w:val="0"/>
      <w:spacing w:before="30" w:beforeLines="30" w:beforeAutospacing="0" w:after="30" w:afterLines="30" w:line="264" w:lineRule="auto"/>
      <w:jc w:val="both"/>
    </w:pPr>
    <w:rPr>
      <w:rFonts w:ascii="宋体" w:hAnsi="宋体" w:cs="宋体"/>
    </w:rPr>
  </w:style>
  <w:style w:type="paragraph" w:styleId="27">
    <w:name w:val="annotation subject"/>
    <w:basedOn w:val="15"/>
    <w:next w:val="15"/>
    <w:link w:val="92"/>
    <w:unhideWhenUsed/>
    <w:qFormat/>
    <w:uiPriority w:val="99"/>
    <w:rPr>
      <w:b/>
      <w:bCs/>
    </w:rPr>
  </w:style>
  <w:style w:type="table" w:styleId="29">
    <w:name w:val="Table Grid"/>
    <w:basedOn w:val="2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qFormat/>
    <w:uiPriority w:val="22"/>
    <w:rPr>
      <w:b/>
      <w:bCs/>
    </w:rPr>
  </w:style>
  <w:style w:type="character" w:styleId="32">
    <w:name w:val="Emphasis"/>
    <w:basedOn w:val="30"/>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批注框文本 字符"/>
    <w:link w:val="22"/>
    <w:semiHidden/>
    <w:qFormat/>
    <w:uiPriority w:val="99"/>
    <w:rPr>
      <w:rFonts w:ascii="Tahoma" w:hAnsi="Tahoma" w:cs="Tahoma"/>
      <w:sz w:val="16"/>
      <w:szCs w:val="16"/>
    </w:rPr>
  </w:style>
  <w:style w:type="character" w:customStyle="1" w:styleId="36">
    <w:name w:val="标题 2 字符"/>
    <w:link w:val="3"/>
    <w:qFormat/>
    <w:uiPriority w:val="0"/>
    <w:rPr>
      <w:rFonts w:ascii="Times New Roman" w:hAnsi="Times New Roman" w:eastAsia="宋体"/>
      <w:b/>
      <w:bCs/>
      <w:kern w:val="2"/>
      <w:sz w:val="24"/>
      <w:szCs w:val="24"/>
      <w:lang w:val="zh-CN"/>
    </w:rPr>
  </w:style>
  <w:style w:type="character" w:customStyle="1" w:styleId="37">
    <w:name w:val="标题 1 字符"/>
    <w:link w:val="2"/>
    <w:qFormat/>
    <w:uiPriority w:val="99"/>
    <w:rPr>
      <w:rFonts w:ascii="Times New Roman" w:hAnsi="Times New Roman" w:eastAsia="黑体"/>
      <w:b/>
      <w:bCs/>
      <w:sz w:val="30"/>
      <w:szCs w:val="30"/>
      <w:lang w:val="zh-CN" w:eastAsia="zh-CN"/>
    </w:rPr>
  </w:style>
  <w:style w:type="character" w:customStyle="1" w:styleId="38">
    <w:name w:val="标题 3 字符"/>
    <w:link w:val="4"/>
    <w:qFormat/>
    <w:uiPriority w:val="9"/>
    <w:rPr>
      <w:rFonts w:ascii="Times New Roman" w:hAnsi="Times New Roman" w:eastAsia="宋体"/>
      <w:b/>
      <w:bCs/>
      <w:sz w:val="22"/>
      <w:szCs w:val="32"/>
      <w:lang w:val="en-US" w:eastAsia="zh-CN"/>
    </w:rPr>
  </w:style>
  <w:style w:type="paragraph" w:customStyle="1" w:styleId="39">
    <w:name w:val="TH"/>
    <w:basedOn w:val="1"/>
    <w:link w:val="88"/>
    <w:qFormat/>
    <w:uiPriority w:val="0"/>
    <w:pPr>
      <w:keepNext/>
      <w:keepLines/>
      <w:adjustRightInd w:val="0"/>
      <w:spacing w:before="60" w:beforeLines="30" w:beforeAutospacing="0" w:afterLines="30" w:line="264" w:lineRule="auto"/>
      <w:jc w:val="center"/>
    </w:pPr>
    <w:rPr>
      <w:rFonts w:ascii="Arial" w:hAnsi="Arial"/>
      <w:b/>
      <w:szCs w:val="20"/>
      <w:lang w:eastAsia="en-US"/>
    </w:rPr>
  </w:style>
  <w:style w:type="paragraph" w:customStyle="1" w:styleId="40">
    <w:name w:val="列出段落5"/>
    <w:basedOn w:val="1"/>
    <w:unhideWhenUsed/>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41">
    <w:name w:val="EQ"/>
    <w:basedOn w:val="1"/>
    <w:next w:val="1"/>
    <w:qFormat/>
    <w:uiPriority w:val="0"/>
    <w:pPr>
      <w:keepLines/>
      <w:tabs>
        <w:tab w:val="center" w:pos="4536"/>
        <w:tab w:val="right" w:pos="9072"/>
      </w:tabs>
      <w:overflowPunct w:val="0"/>
      <w:adjustRightInd w:val="0"/>
      <w:spacing w:before="30" w:beforeLines="30" w:beforeAutospacing="0" w:afterLines="30" w:line="264" w:lineRule="auto"/>
      <w:jc w:val="both"/>
      <w:textAlignment w:val="baseline"/>
    </w:pPr>
    <w:rPr>
      <w:szCs w:val="22"/>
    </w:rPr>
  </w:style>
  <w:style w:type="paragraph" w:customStyle="1" w:styleId="42">
    <w:name w:val="样式 ！正文"/>
    <w:basedOn w:val="1"/>
    <w:qFormat/>
    <w:uiPriority w:val="0"/>
    <w:pPr>
      <w:widowControl w:val="0"/>
      <w:adjustRightInd w:val="0"/>
      <w:spacing w:before="40" w:beforeLines="30" w:beforeAutospacing="0" w:after="40" w:afterLines="30" w:line="300" w:lineRule="auto"/>
      <w:ind w:firstLine="420"/>
      <w:jc w:val="both"/>
    </w:pPr>
    <w:rPr>
      <w:rFonts w:cs="宋体"/>
      <w:kern w:val="2"/>
      <w:sz w:val="21"/>
      <w:szCs w:val="20"/>
    </w:rPr>
  </w:style>
  <w:style w:type="paragraph" w:customStyle="1" w:styleId="43">
    <w:name w:val="List Paragraph5"/>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44">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5">
    <w:name w:val="TAH"/>
    <w:basedOn w:val="46"/>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6">
    <w:name w:val="TAC"/>
    <w:basedOn w:val="47"/>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jc w:val="both"/>
    </w:pPr>
    <w:rPr>
      <w:rFonts w:ascii="Arial" w:hAnsi="Arial"/>
      <w:sz w:val="18"/>
      <w:szCs w:val="22"/>
    </w:rPr>
  </w:style>
  <w:style w:type="paragraph" w:customStyle="1" w:styleId="48">
    <w:name w:val="列出段落4"/>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49">
    <w:name w:val="LGTdoc_본문"/>
    <w:basedOn w:val="1"/>
    <w:qFormat/>
    <w:uiPriority w:val="0"/>
    <w:pPr>
      <w:widowControl w:val="0"/>
      <w:autoSpaceDE w:val="0"/>
      <w:autoSpaceDN w:val="0"/>
      <w:adjustRightInd w:val="0"/>
      <w:spacing w:before="30" w:beforeLines="30" w:beforeAutospacing="0" w:after="30" w:afterLines="30" w:line="264" w:lineRule="auto"/>
      <w:jc w:val="both"/>
    </w:pPr>
    <w:rPr>
      <w:kern w:val="2"/>
      <w:sz w:val="22"/>
      <w:szCs w:val="22"/>
      <w:lang w:eastAsia="ko-KR"/>
    </w:rPr>
  </w:style>
  <w:style w:type="paragraph" w:customStyle="1" w:styleId="5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1">
    <w:name w:val="TAN"/>
    <w:basedOn w:val="1"/>
    <w:qFormat/>
    <w:uiPriority w:val="0"/>
    <w:pPr>
      <w:keepNext/>
      <w:keepLines/>
      <w:adjustRightInd w:val="0"/>
      <w:spacing w:before="30" w:beforeLines="30" w:beforeAutospacing="0" w:after="30" w:afterLines="30" w:line="264" w:lineRule="auto"/>
      <w:ind w:left="851" w:hanging="851"/>
      <w:jc w:val="both"/>
    </w:pPr>
    <w:rPr>
      <w:rFonts w:ascii="Arial" w:hAnsi="Arial"/>
      <w:sz w:val="18"/>
      <w:szCs w:val="20"/>
      <w:lang w:eastAsia="en-US"/>
    </w:rPr>
  </w:style>
  <w:style w:type="paragraph" w:styleId="52">
    <w:name w:val="List Paragraph"/>
    <w:basedOn w:val="1"/>
    <w:link w:val="119"/>
    <w:qFormat/>
    <w:uiPriority w:val="34"/>
    <w:pPr>
      <w:adjustRightInd w:val="0"/>
      <w:spacing w:before="30" w:beforeLines="30" w:beforeAutospacing="0" w:after="30" w:afterLines="30" w:line="264" w:lineRule="auto"/>
      <w:ind w:left="840" w:leftChars="400"/>
      <w:jc w:val="both"/>
    </w:pPr>
    <w:rPr>
      <w:rFonts w:ascii="Times" w:hAnsi="Times" w:eastAsia="Batang"/>
      <w:lang w:val="en-GB"/>
    </w:rPr>
  </w:style>
  <w:style w:type="paragraph" w:customStyle="1" w:styleId="53">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4">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720"/>
      <w:contextualSpacing/>
      <w:jc w:val="both"/>
    </w:pPr>
    <w:rPr>
      <w:szCs w:val="22"/>
    </w:rPr>
  </w:style>
  <w:style w:type="paragraph" w:customStyle="1" w:styleId="55">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firstLine="420" w:firstLineChars="200"/>
      <w:jc w:val="both"/>
    </w:pPr>
    <w:rPr>
      <w:rFonts w:eastAsia="宋体"/>
      <w:szCs w:val="22"/>
    </w:rPr>
  </w:style>
  <w:style w:type="paragraph" w:customStyle="1" w:styleId="56">
    <w:name w:val="List Paragraph3"/>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57">
    <w:name w:val="Doc-text2"/>
    <w:basedOn w:val="1"/>
    <w:link w:val="113"/>
    <w:qFormat/>
    <w:uiPriority w:val="0"/>
    <w:pPr>
      <w:tabs>
        <w:tab w:val="left" w:pos="1622"/>
      </w:tabs>
      <w:adjustRightInd w:val="0"/>
      <w:spacing w:before="30" w:beforeLines="30" w:beforeAutospacing="0" w:after="30" w:afterLines="30" w:line="264" w:lineRule="auto"/>
      <w:ind w:left="1622" w:hanging="363"/>
      <w:jc w:val="both"/>
    </w:pPr>
    <w:rPr>
      <w:rFonts w:ascii="Arial" w:hAnsi="Arial" w:eastAsia="MS Mincho"/>
    </w:rPr>
  </w:style>
  <w:style w:type="paragraph" w:customStyle="1" w:styleId="58">
    <w:name w:val="B2"/>
    <w:basedOn w:val="19"/>
    <w:qFormat/>
    <w:uiPriority w:val="0"/>
  </w:style>
  <w:style w:type="paragraph" w:customStyle="1" w:styleId="59">
    <w:name w:val="TF"/>
    <w:basedOn w:val="39"/>
    <w:link w:val="95"/>
    <w:qFormat/>
    <w:uiPriority w:val="0"/>
    <w:pPr>
      <w:keepNext w:val="0"/>
      <w:spacing w:before="0" w:after="240"/>
    </w:pPr>
    <w:rPr>
      <w:lang w:val="en-GB"/>
    </w:rPr>
  </w:style>
  <w:style w:type="paragraph" w:customStyle="1" w:styleId="60">
    <w:name w:val="z-窗体底端1"/>
    <w:basedOn w:val="1"/>
    <w:next w:val="1"/>
    <w:link w:val="109"/>
    <w:unhideWhenUsed/>
    <w:qFormat/>
    <w:uiPriority w:val="99"/>
    <w:pPr>
      <w:pBdr>
        <w:top w:val="single" w:color="auto" w:sz="6" w:space="1"/>
      </w:pBdr>
      <w:adjustRightInd w:val="0"/>
      <w:spacing w:before="30" w:beforeLines="30" w:beforeAutospacing="0" w:after="30" w:afterLines="30" w:line="264" w:lineRule="auto"/>
      <w:jc w:val="center"/>
    </w:pPr>
    <w:rPr>
      <w:rFonts w:ascii="Arial" w:hAnsi="Arial"/>
      <w:vanish/>
      <w:sz w:val="16"/>
      <w:szCs w:val="16"/>
    </w:rPr>
  </w:style>
  <w:style w:type="paragraph" w:customStyle="1" w:styleId="61">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2">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3">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840" w:leftChars="400"/>
      <w:jc w:val="both"/>
    </w:pPr>
    <w:rPr>
      <w:szCs w:val="22"/>
    </w:rPr>
  </w:style>
  <w:style w:type="paragraph" w:customStyle="1" w:styleId="64">
    <w:name w:val="B3"/>
    <w:basedOn w:val="11"/>
    <w:qFormat/>
    <w:uiPriority w:val="0"/>
    <w:pPr>
      <w:spacing w:after="180"/>
      <w:ind w:left="1135" w:leftChars="0" w:hanging="284" w:firstLineChars="0"/>
    </w:pPr>
    <w:rPr>
      <w:rFonts w:eastAsia="MS Mincho"/>
      <w:szCs w:val="20"/>
      <w:lang w:eastAsia="en-US"/>
    </w:rPr>
  </w:style>
  <w:style w:type="paragraph" w:customStyle="1" w:styleId="65">
    <w:name w:val="RAN1 text"/>
    <w:basedOn w:val="16"/>
    <w:qFormat/>
    <w:uiPriority w:val="0"/>
    <w:rPr>
      <w:rFonts w:eastAsia="MS Mincho"/>
    </w:rPr>
  </w:style>
  <w:style w:type="paragraph" w:customStyle="1" w:styleId="66">
    <w:name w:val="列出段落3"/>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67">
    <w:name w:val="_Style 1"/>
    <w:basedOn w:val="1"/>
    <w:qFormat/>
    <w:uiPriority w:val="34"/>
    <w:pPr>
      <w:adjustRightInd w:val="0"/>
      <w:spacing w:before="30" w:beforeLines="30" w:beforeAutospacing="0" w:after="30" w:afterLines="30" w:line="264" w:lineRule="auto"/>
      <w:ind w:left="840" w:leftChars="400"/>
      <w:jc w:val="both"/>
    </w:pPr>
    <w:rPr>
      <w:szCs w:val="22"/>
    </w:rPr>
  </w:style>
  <w:style w:type="paragraph" w:customStyle="1" w:styleId="68">
    <w:name w:val="列出段落2"/>
    <w:basedOn w:val="1"/>
    <w:qFormat/>
    <w:uiPriority w:val="99"/>
    <w:pPr>
      <w:adjustRightInd w:val="0"/>
      <w:spacing w:before="30" w:beforeLines="30" w:beforeAutospacing="0" w:after="30" w:afterLines="30" w:line="264" w:lineRule="auto"/>
      <w:ind w:left="720"/>
      <w:contextualSpacing/>
      <w:jc w:val="both"/>
    </w:pPr>
    <w:rPr>
      <w:szCs w:val="22"/>
    </w:rPr>
  </w:style>
  <w:style w:type="paragraph" w:customStyle="1" w:styleId="69">
    <w:name w:val="B1"/>
    <w:basedOn w:val="25"/>
    <w:qFormat/>
    <w:uiPriority w:val="0"/>
  </w:style>
  <w:style w:type="paragraph" w:customStyle="1" w:styleId="70">
    <w:name w:val="List Paragraph1"/>
    <w:basedOn w:val="1"/>
    <w:unhideWhenUsed/>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71">
    <w:name w:val="列出段落1"/>
    <w:basedOn w:val="1"/>
    <w:link w:val="93"/>
    <w:qFormat/>
    <w:uiPriority w:val="34"/>
    <w:pPr>
      <w:widowControl w:val="0"/>
      <w:adjustRightInd w:val="0"/>
      <w:spacing w:before="30" w:beforeLines="30" w:beforeAutospacing="0" w:after="30" w:afterLines="30" w:line="264" w:lineRule="auto"/>
      <w:ind w:firstLine="420" w:firstLineChars="200"/>
      <w:jc w:val="both"/>
    </w:pPr>
    <w:rPr>
      <w:kern w:val="2"/>
      <w:sz w:val="21"/>
    </w:rPr>
  </w:style>
  <w:style w:type="paragraph" w:customStyle="1" w:styleId="72">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3">
    <w:name w:val="List Paragraph7"/>
    <w:basedOn w:val="1"/>
    <w:qFormat/>
    <w:uiPriority w:val="34"/>
    <w:pPr>
      <w:adjustRightInd w:val="0"/>
      <w:spacing w:before="30" w:beforeLines="30" w:beforeAutospacing="0" w:after="30" w:afterLines="30" w:line="264" w:lineRule="auto"/>
      <w:ind w:firstLine="420"/>
      <w:jc w:val="both"/>
    </w:pPr>
    <w:rPr>
      <w:rFonts w:ascii="MS PGothic" w:hAnsi="MS PGothic" w:eastAsia="MS PGothic" w:cs="宋体"/>
    </w:rPr>
  </w:style>
  <w:style w:type="paragraph" w:customStyle="1" w:styleId="74">
    <w:name w:val="表格文字居左"/>
    <w:basedOn w:val="1"/>
    <w:next w:val="1"/>
    <w:qFormat/>
    <w:uiPriority w:val="0"/>
    <w:pPr>
      <w:widowControl w:val="0"/>
      <w:adjustRightInd w:val="0"/>
      <w:spacing w:before="30" w:beforeLines="30" w:beforeAutospacing="0" w:after="30" w:afterLines="30" w:line="264" w:lineRule="auto"/>
      <w:jc w:val="both"/>
    </w:pPr>
    <w:rPr>
      <w:rFonts w:ascii="Arial" w:hAnsi="Arial" w:cs="宋体"/>
      <w:kern w:val="2"/>
      <w:sz w:val="21"/>
      <w:szCs w:val="20"/>
    </w:rPr>
  </w:style>
  <w:style w:type="paragraph" w:customStyle="1" w:styleId="75">
    <w:name w:val="_Style 3"/>
    <w:basedOn w:val="1"/>
    <w:qFormat/>
    <w:uiPriority w:val="34"/>
    <w:pPr>
      <w:adjustRightInd w:val="0"/>
      <w:spacing w:before="30" w:beforeLines="30" w:beforeAutospacing="0" w:after="30" w:afterLines="30" w:line="264" w:lineRule="auto"/>
      <w:ind w:left="840" w:leftChars="400"/>
      <w:jc w:val="both"/>
    </w:pPr>
    <w:rPr>
      <w:szCs w:val="22"/>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7">
    <w:name w:val="List Paragraph6"/>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78">
    <w:name w:val="tablecell"/>
    <w:basedOn w:val="1"/>
    <w:qFormat/>
    <w:uiPriority w:val="0"/>
    <w:pPr>
      <w:autoSpaceDE w:val="0"/>
      <w:autoSpaceDN w:val="0"/>
      <w:adjustRightInd w:val="0"/>
      <w:spacing w:before="40" w:beforeLines="30" w:beforeAutospacing="0" w:after="40" w:afterLines="30" w:line="264" w:lineRule="auto"/>
      <w:jc w:val="both"/>
    </w:pPr>
    <w:rPr>
      <w:szCs w:val="22"/>
      <w:lang w:eastAsia="en-US"/>
    </w:rPr>
  </w:style>
  <w:style w:type="paragraph" w:customStyle="1" w:styleId="79">
    <w:name w:val="tableheader"/>
    <w:basedOn w:val="1"/>
    <w:qFormat/>
    <w:uiPriority w:val="0"/>
    <w:pPr>
      <w:adjustRightInd w:val="0"/>
      <w:spacing w:before="40" w:beforeLines="30" w:beforeAutospacing="0" w:after="40" w:afterLines="30" w:line="264" w:lineRule="auto"/>
      <w:jc w:val="center"/>
    </w:pPr>
    <w:rPr>
      <w:rFonts w:cs="Calibri"/>
      <w:b/>
      <w:bCs/>
      <w:color w:val="000000"/>
      <w:szCs w:val="22"/>
      <w:lang w:eastAsia="en-US"/>
    </w:rPr>
  </w:style>
  <w:style w:type="paragraph" w:customStyle="1" w:styleId="80">
    <w:name w:val="Test"/>
    <w:basedOn w:val="1"/>
    <w:qFormat/>
    <w:uiPriority w:val="0"/>
    <w:pPr>
      <w:adjustRightInd w:val="0"/>
      <w:spacing w:before="60" w:beforeLines="30" w:beforeAutospacing="0" w:after="60" w:afterLines="30" w:line="280" w:lineRule="atLeast"/>
      <w:ind w:left="2160"/>
      <w:jc w:val="both"/>
    </w:pPr>
    <w:rPr>
      <w:rFonts w:eastAsia="MS Mincho"/>
      <w:szCs w:val="20"/>
      <w:lang w:eastAsia="en-US"/>
    </w:rPr>
  </w:style>
  <w:style w:type="paragraph" w:customStyle="1" w:styleId="81">
    <w:name w:val="main text"/>
    <w:basedOn w:val="1"/>
    <w:link w:val="110"/>
    <w:qFormat/>
    <w:uiPriority w:val="0"/>
    <w:pPr>
      <w:adjustRightInd w:val="0"/>
      <w:spacing w:before="60" w:beforeLines="30" w:beforeAutospacing="0" w:after="60" w:afterLines="30" w:line="264" w:lineRule="auto"/>
      <w:ind w:firstLine="200" w:firstLineChars="200"/>
      <w:jc w:val="both"/>
    </w:pPr>
    <w:rPr>
      <w:rFonts w:eastAsia="Malgun Gothic"/>
      <w:szCs w:val="20"/>
      <w:lang w:eastAsia="ko-KR"/>
    </w:rPr>
  </w:style>
  <w:style w:type="paragraph" w:customStyle="1" w:styleId="82">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3">
    <w:name w:val="RAN1 bullet1"/>
    <w:basedOn w:val="1"/>
    <w:qFormat/>
    <w:uiPriority w:val="0"/>
    <w:pPr>
      <w:numPr>
        <w:ilvl w:val="0"/>
        <w:numId w:val="4"/>
      </w:numPr>
      <w:adjustRightInd w:val="0"/>
      <w:spacing w:before="30" w:beforeLines="30" w:beforeAutospacing="0" w:after="30" w:afterLines="30" w:line="264" w:lineRule="auto"/>
      <w:jc w:val="both"/>
    </w:pPr>
    <w:rPr>
      <w:szCs w:val="22"/>
    </w:rPr>
  </w:style>
  <w:style w:type="paragraph" w:customStyle="1" w:styleId="84">
    <w:name w:val="List Paragraph2"/>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85">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6">
    <w:name w:val="z-窗体顶端1"/>
    <w:basedOn w:val="1"/>
    <w:next w:val="1"/>
    <w:link w:val="91"/>
    <w:unhideWhenUsed/>
    <w:qFormat/>
    <w:uiPriority w:val="99"/>
    <w:pPr>
      <w:pBdr>
        <w:bottom w:val="single" w:color="auto" w:sz="6" w:space="1"/>
      </w:pBdr>
      <w:adjustRightInd w:val="0"/>
      <w:spacing w:before="30" w:beforeLines="30" w:beforeAutospacing="0" w:after="30" w:afterLines="30" w:line="264" w:lineRule="auto"/>
      <w:jc w:val="center"/>
    </w:pPr>
    <w:rPr>
      <w:rFonts w:ascii="Arial" w:hAnsi="Arial"/>
      <w:vanish/>
      <w:sz w:val="16"/>
      <w:szCs w:val="16"/>
    </w:rPr>
  </w:style>
  <w:style w:type="character" w:customStyle="1" w:styleId="87">
    <w:name w:val="标题 7 字符"/>
    <w:link w:val="8"/>
    <w:semiHidden/>
    <w:qFormat/>
    <w:uiPriority w:val="9"/>
    <w:rPr>
      <w:b/>
      <w:bCs/>
      <w:sz w:val="24"/>
      <w:szCs w:val="24"/>
      <w:lang w:val="en-US" w:eastAsia="zh-CN"/>
    </w:rPr>
  </w:style>
  <w:style w:type="character" w:customStyle="1" w:styleId="88">
    <w:name w:val="TH Char"/>
    <w:link w:val="39"/>
    <w:qFormat/>
    <w:uiPriority w:val="0"/>
    <w:rPr>
      <w:rFonts w:ascii="Arial" w:hAnsi="Arial"/>
      <w:b/>
      <w:lang w:eastAsia="en-US"/>
    </w:rPr>
  </w:style>
  <w:style w:type="character" w:customStyle="1" w:styleId="89">
    <w:name w:val="正文文本 字符"/>
    <w:link w:val="16"/>
    <w:qFormat/>
    <w:uiPriority w:val="0"/>
    <w:rPr>
      <w:rFonts w:ascii="Times New Roman" w:hAnsi="Times New Roman" w:eastAsia="宋体"/>
      <w:color w:val="000000"/>
      <w:kern w:val="2"/>
      <w:sz w:val="21"/>
    </w:rPr>
  </w:style>
  <w:style w:type="character" w:customStyle="1" w:styleId="90">
    <w:name w:val="日期 字符"/>
    <w:link w:val="21"/>
    <w:semiHidden/>
    <w:qFormat/>
    <w:uiPriority w:val="99"/>
    <w:rPr>
      <w:sz w:val="22"/>
      <w:szCs w:val="22"/>
    </w:rPr>
  </w:style>
  <w:style w:type="character" w:customStyle="1" w:styleId="91">
    <w:name w:val="z-窗体顶端 Char"/>
    <w:link w:val="86"/>
    <w:semiHidden/>
    <w:qFormat/>
    <w:uiPriority w:val="99"/>
    <w:rPr>
      <w:rFonts w:ascii="Arial" w:hAnsi="Arial" w:cs="Arial"/>
      <w:vanish/>
      <w:sz w:val="16"/>
      <w:szCs w:val="16"/>
    </w:rPr>
  </w:style>
  <w:style w:type="character" w:customStyle="1" w:styleId="92">
    <w:name w:val="批注主题 字符"/>
    <w:link w:val="27"/>
    <w:semiHidden/>
    <w:qFormat/>
    <w:uiPriority w:val="99"/>
    <w:rPr>
      <w:b/>
      <w:bCs/>
    </w:rPr>
  </w:style>
  <w:style w:type="character" w:customStyle="1" w:styleId="93">
    <w:name w:val="列出段落 Char"/>
    <w:link w:val="71"/>
    <w:qFormat/>
    <w:uiPriority w:val="34"/>
    <w:rPr>
      <w:rFonts w:ascii="Times New Roman" w:hAnsi="Times New Roman"/>
      <w:kern w:val="2"/>
      <w:sz w:val="21"/>
      <w:szCs w:val="24"/>
    </w:rPr>
  </w:style>
  <w:style w:type="character" w:customStyle="1" w:styleId="94">
    <w:name w:val="页眉 字符"/>
    <w:link w:val="24"/>
    <w:qFormat/>
    <w:uiPriority w:val="0"/>
    <w:rPr>
      <w:rFonts w:ascii="Arial" w:hAnsi="Arial" w:eastAsia="MS Mincho"/>
      <w:b/>
      <w:szCs w:val="24"/>
      <w:lang w:eastAsia="en-US"/>
    </w:rPr>
  </w:style>
  <w:style w:type="character" w:customStyle="1" w:styleId="95">
    <w:name w:val="TF Char"/>
    <w:link w:val="59"/>
    <w:qFormat/>
    <w:uiPriority w:val="0"/>
    <w:rPr>
      <w:rFonts w:ascii="Arial" w:hAnsi="Arial"/>
      <w:b/>
      <w:lang w:val="en-GB" w:eastAsia="en-US"/>
    </w:rPr>
  </w:style>
  <w:style w:type="character" w:customStyle="1" w:styleId="96">
    <w:name w:val="标题 6 字符"/>
    <w:link w:val="7"/>
    <w:semiHidden/>
    <w:qFormat/>
    <w:uiPriority w:val="9"/>
    <w:rPr>
      <w:rFonts w:ascii="Cambria" w:hAnsi="Cambria" w:eastAsia="宋体" w:cs="黑体"/>
      <w:b/>
      <w:bCs/>
      <w:sz w:val="24"/>
      <w:szCs w:val="24"/>
      <w:lang w:val="en-US" w:eastAsia="zh-CN"/>
    </w:rPr>
  </w:style>
  <w:style w:type="character" w:customStyle="1" w:styleId="97">
    <w:name w:val="标题 4 字符"/>
    <w:link w:val="5"/>
    <w:qFormat/>
    <w:uiPriority w:val="0"/>
    <w:rPr>
      <w:rFonts w:ascii="Times New Roman" w:hAnsi="Times New Roman"/>
      <w:b/>
      <w:sz w:val="28"/>
      <w:szCs w:val="28"/>
      <w:lang w:eastAsia="zh-CN"/>
    </w:rPr>
  </w:style>
  <w:style w:type="character" w:customStyle="1" w:styleId="98">
    <w:name w:val="标题 9 字符"/>
    <w:link w:val="10"/>
    <w:semiHidden/>
    <w:qFormat/>
    <w:uiPriority w:val="9"/>
    <w:rPr>
      <w:rFonts w:ascii="Cambria" w:hAnsi="Cambria" w:eastAsia="宋体" w:cs="黑体"/>
      <w:sz w:val="21"/>
      <w:szCs w:val="21"/>
      <w:lang w:val="en-US" w:eastAsia="zh-CN"/>
    </w:rPr>
  </w:style>
  <w:style w:type="character" w:customStyle="1" w:styleId="99">
    <w:name w:val="纯文本 字符"/>
    <w:link w:val="20"/>
    <w:qFormat/>
    <w:uiPriority w:val="99"/>
    <w:rPr>
      <w:rFonts w:eastAsia="Calibri"/>
      <w:sz w:val="22"/>
      <w:szCs w:val="21"/>
      <w:lang w:eastAsia="en-US"/>
    </w:rPr>
  </w:style>
  <w:style w:type="character" w:customStyle="1" w:styleId="100">
    <w:name w:val="apple-converted-space"/>
    <w:basedOn w:val="30"/>
    <w:qFormat/>
    <w:uiPriority w:val="0"/>
  </w:style>
  <w:style w:type="character" w:customStyle="1" w:styleId="101">
    <w:name w:val="标题 5 字符"/>
    <w:link w:val="6"/>
    <w:qFormat/>
    <w:uiPriority w:val="0"/>
    <w:rPr>
      <w:rFonts w:ascii="Times New Roman" w:hAnsi="Times New Roman"/>
      <w:b/>
      <w:sz w:val="24"/>
      <w:szCs w:val="24"/>
      <w:lang w:eastAsia="zh-CN"/>
    </w:rPr>
  </w:style>
  <w:style w:type="character" w:customStyle="1" w:styleId="102">
    <w:name w:val="题注 字符"/>
    <w:link w:val="13"/>
    <w:qFormat/>
    <w:uiPriority w:val="0"/>
    <w:rPr>
      <w:rFonts w:ascii="Times New Roman" w:hAnsi="Times New Roman"/>
      <w:b/>
      <w:bCs/>
    </w:rPr>
  </w:style>
  <w:style w:type="character" w:customStyle="1" w:styleId="103">
    <w:name w:val="正文文本缩进 字符"/>
    <w:link w:val="17"/>
    <w:semiHidden/>
    <w:qFormat/>
    <w:uiPriority w:val="99"/>
    <w:rPr>
      <w:sz w:val="22"/>
      <w:szCs w:val="22"/>
    </w:rPr>
  </w:style>
  <w:style w:type="character" w:customStyle="1" w:styleId="104">
    <w:name w:val="标题 8 字符"/>
    <w:link w:val="9"/>
    <w:semiHidden/>
    <w:qFormat/>
    <w:uiPriority w:val="9"/>
    <w:rPr>
      <w:rFonts w:ascii="Cambria" w:hAnsi="Cambria" w:eastAsia="宋体" w:cs="黑体"/>
      <w:sz w:val="24"/>
      <w:szCs w:val="24"/>
      <w:lang w:val="en-US" w:eastAsia="zh-CN"/>
    </w:rPr>
  </w:style>
  <w:style w:type="character" w:customStyle="1" w:styleId="105">
    <w:name w:val="short_text"/>
    <w:basedOn w:val="30"/>
    <w:qFormat/>
    <w:uiPriority w:val="0"/>
  </w:style>
  <w:style w:type="character" w:customStyle="1" w:styleId="106">
    <w:name w:val="页脚 字符"/>
    <w:link w:val="23"/>
    <w:qFormat/>
    <w:uiPriority w:val="99"/>
    <w:rPr>
      <w:sz w:val="18"/>
      <w:szCs w:val="18"/>
    </w:rPr>
  </w:style>
  <w:style w:type="character" w:customStyle="1" w:styleId="107">
    <w:name w:val="批注文字 字符"/>
    <w:basedOn w:val="30"/>
    <w:link w:val="15"/>
    <w:qFormat/>
    <w:uiPriority w:val="99"/>
  </w:style>
  <w:style w:type="character" w:customStyle="1" w:styleId="108">
    <w:name w:val="hps"/>
    <w:basedOn w:val="30"/>
    <w:qFormat/>
    <w:uiPriority w:val="0"/>
  </w:style>
  <w:style w:type="character" w:customStyle="1" w:styleId="109">
    <w:name w:val="z-窗体底端 Char"/>
    <w:link w:val="60"/>
    <w:semiHidden/>
    <w:qFormat/>
    <w:uiPriority w:val="99"/>
    <w:rPr>
      <w:rFonts w:ascii="Arial" w:hAnsi="Arial" w:cs="Arial"/>
      <w:vanish/>
      <w:sz w:val="16"/>
      <w:szCs w:val="16"/>
    </w:rPr>
  </w:style>
  <w:style w:type="character" w:customStyle="1" w:styleId="110">
    <w:name w:val="main text Char"/>
    <w:link w:val="81"/>
    <w:qFormat/>
    <w:uiPriority w:val="0"/>
    <w:rPr>
      <w:rFonts w:ascii="Times New Roman" w:hAnsi="Times New Roman" w:eastAsia="Malgun Gothic"/>
      <w:lang w:eastAsia="ko-KR"/>
    </w:rPr>
  </w:style>
  <w:style w:type="character" w:customStyle="1" w:styleId="111">
    <w:name w:val="keyword"/>
    <w:basedOn w:val="30"/>
    <w:qFormat/>
    <w:uiPriority w:val="0"/>
  </w:style>
  <w:style w:type="character" w:customStyle="1" w:styleId="112">
    <w:name w:val="文档结构图 字符"/>
    <w:link w:val="14"/>
    <w:qFormat/>
    <w:uiPriority w:val="0"/>
    <w:rPr>
      <w:rFonts w:ascii="宋体"/>
      <w:sz w:val="18"/>
      <w:szCs w:val="18"/>
    </w:rPr>
  </w:style>
  <w:style w:type="character" w:customStyle="1" w:styleId="113">
    <w:name w:val="Doc-text2 Char"/>
    <w:link w:val="57"/>
    <w:qFormat/>
    <w:uiPriority w:val="0"/>
    <w:rPr>
      <w:rFonts w:ascii="Arial" w:hAnsi="Arial" w:eastAsia="MS Mincho"/>
      <w:szCs w:val="24"/>
    </w:rPr>
  </w:style>
  <w:style w:type="paragraph" w:customStyle="1" w:styleId="114">
    <w:name w:val="Style1"/>
    <w:basedOn w:val="1"/>
    <w:qFormat/>
    <w:uiPriority w:val="0"/>
    <w:pPr>
      <w:adjustRightInd w:val="0"/>
      <w:spacing w:before="30" w:beforeLines="30" w:beforeAutospacing="0" w:after="100" w:afterLines="3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spacing w:beforeLines="35" w:line="460" w:lineRule="exact"/>
      <w:ind w:firstLine="560"/>
    </w:pPr>
    <w:rPr>
      <w:rFonts w:cs="宋体"/>
    </w:rPr>
  </w:style>
  <w:style w:type="paragraph" w:customStyle="1" w:styleId="116">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7">
    <w:name w:val="TAC Char"/>
    <w:link w:val="46"/>
    <w:qFormat/>
    <w:uiPriority w:val="0"/>
    <w:rPr>
      <w:rFonts w:ascii="Arial" w:hAnsi="Arial" w:eastAsia="Times New Roman" w:cs="Times New Roman"/>
      <w:sz w:val="18"/>
      <w:lang w:eastAsia="en-US"/>
    </w:rPr>
  </w:style>
  <w:style w:type="character" w:customStyle="1" w:styleId="118">
    <w:name w:val="TAH Car"/>
    <w:link w:val="45"/>
    <w:qFormat/>
    <w:uiPriority w:val="0"/>
    <w:rPr>
      <w:rFonts w:ascii="Arial" w:hAnsi="Arial" w:eastAsia="Times New Roman" w:cs="Times New Roman"/>
      <w:b/>
      <w:sz w:val="18"/>
      <w:lang w:eastAsia="en-US"/>
    </w:rPr>
  </w:style>
  <w:style w:type="character" w:customStyle="1" w:styleId="119">
    <w:name w:val="列表段落 字符2"/>
    <w:link w:val="52"/>
    <w:qFormat/>
    <w:locked/>
    <w:uiPriority w:val="34"/>
    <w:rPr>
      <w:rFonts w:ascii="Times" w:hAnsi="Times" w:eastAsia="Batang" w:cs="Times New Roman"/>
      <w:szCs w:val="24"/>
      <w:lang w:val="en-GB"/>
    </w:rPr>
  </w:style>
  <w:style w:type="paragraph" w:customStyle="1" w:styleId="120">
    <w:name w:val="References"/>
    <w:basedOn w:val="1"/>
    <w:qFormat/>
    <w:uiPriority w:val="0"/>
    <w:pPr>
      <w:numPr>
        <w:ilvl w:val="0"/>
        <w:numId w:val="5"/>
      </w:numPr>
      <w:adjustRightInd w:val="0"/>
      <w:spacing w:before="30" w:beforeLines="30" w:beforeAutospacing="0" w:after="60" w:afterLines="30" w:line="264" w:lineRule="auto"/>
      <w:jc w:val="both"/>
    </w:pPr>
    <w:rPr>
      <w:szCs w:val="16"/>
    </w:rPr>
  </w:style>
  <w:style w:type="paragraph" w:customStyle="1" w:styleId="121">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3">
    <w:name w:val="paragraph"/>
    <w:basedOn w:val="1"/>
    <w:qFormat/>
    <w:uiPriority w:val="99"/>
    <w:pPr>
      <w:adjustRightInd w:val="0"/>
      <w:spacing w:beforeLines="30" w:after="100" w:afterLines="30" w:afterAutospacing="1" w:line="264" w:lineRule="auto"/>
      <w:jc w:val="both"/>
    </w:pPr>
    <w:rPr>
      <w:szCs w:val="22"/>
      <w:lang w:val="sv-SE"/>
    </w:rPr>
  </w:style>
  <w:style w:type="paragraph" w:customStyle="1" w:styleId="124">
    <w:name w:val="tal"/>
    <w:basedOn w:val="1"/>
    <w:qFormat/>
    <w:uiPriority w:val="0"/>
    <w:pPr>
      <w:keepNext/>
      <w:adjustRightInd w:val="0"/>
      <w:spacing w:before="30" w:beforeLines="30" w:beforeAutospacing="0" w:after="0" w:afterLines="30"/>
      <w:jc w:val="both"/>
    </w:pPr>
    <w:rPr>
      <w:rFonts w:ascii="Arial" w:hAnsi="Arial" w:eastAsia="Gulim" w:cs="Arial"/>
      <w:sz w:val="18"/>
      <w:szCs w:val="18"/>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7">
    <w:name w:val="列表段落 字符1"/>
    <w:basedOn w:val="30"/>
    <w:link w:val="128"/>
    <w:qFormat/>
    <w:uiPriority w:val="0"/>
    <w:rPr>
      <w:rFonts w:hint="default" w:ascii="Times" w:hAnsi="Times" w:eastAsia="Batang" w:cs="Times"/>
      <w:szCs w:val="24"/>
      <w:lang w:val="en-US"/>
    </w:rPr>
  </w:style>
  <w:style w:type="paragraph" w:customStyle="1" w:styleId="128">
    <w:name w:val="列表段落1"/>
    <w:basedOn w:val="1"/>
    <w:link w:val="127"/>
    <w:qFormat/>
    <w:uiPriority w:val="0"/>
    <w:pPr>
      <w:adjustRightInd w:val="0"/>
      <w:spacing w:beforeLines="30" w:beforeAutospacing="0" w:after="0" w:afterLines="30" w:line="264" w:lineRule="auto"/>
      <w:ind w:left="840" w:leftChars="400"/>
    </w:pPr>
    <w:rPr>
      <w:rFonts w:ascii="Times" w:hAnsi="Times" w:eastAsia="Batang"/>
    </w:rPr>
  </w:style>
  <w:style w:type="paragraph" w:customStyle="1" w:styleId="129">
    <w:name w:val="列表段落11"/>
    <w:basedOn w:val="1"/>
    <w:qFormat/>
    <w:uiPriority w:val="0"/>
    <w:pPr>
      <w:adjustRightInd w:val="0"/>
      <w:spacing w:beforeLines="30" w:beforeAutospacing="0" w:after="0" w:afterLines="30" w:line="264" w:lineRule="auto"/>
      <w:ind w:left="840" w:leftChars="400"/>
    </w:pPr>
    <w:rPr>
      <w:rFonts w:ascii="Times" w:hAnsi="Times" w:eastAsia="Batang"/>
    </w:rPr>
  </w:style>
  <w:style w:type="character" w:customStyle="1" w:styleId="130">
    <w:name w:val="列表段落 字符"/>
    <w:basedOn w:val="30"/>
    <w:qFormat/>
    <w:uiPriority w:val="0"/>
    <w:rPr>
      <w:lang w:val="en-US" w:eastAsia="ko"/>
    </w:rPr>
  </w:style>
  <w:style w:type="paragraph" w:customStyle="1" w:styleId="131">
    <w:name w:val="List Paragraph8"/>
    <w:basedOn w:val="1"/>
    <w:qFormat/>
    <w:uiPriority w:val="0"/>
    <w:pPr>
      <w:widowControl w:val="0"/>
      <w:spacing w:after="100" w:afterAutospacing="1"/>
      <w:ind w:left="800"/>
      <w:jc w:val="both"/>
    </w:pPr>
    <w:rPr>
      <w:rFonts w:eastAsia="Malgun Gothic"/>
      <w:kern w:val="2"/>
      <w:sz w:val="21"/>
      <w:szCs w:val="21"/>
    </w:rPr>
  </w:style>
  <w:style w:type="paragraph" w:customStyle="1" w:styleId="132">
    <w:name w:val="修订3"/>
    <w:hidden/>
    <w:unhideWhenUsed/>
    <w:qFormat/>
    <w:uiPriority w:val="99"/>
    <w:rPr>
      <w:rFonts w:ascii="Times New Roman" w:hAnsi="Times New Roman" w:eastAsia="Times New Roman" w:cs="Times New Roman"/>
      <w:szCs w:val="24"/>
      <w:lang w:val="en-US" w:eastAsia="zh-CN" w:bidi="ar-SA"/>
    </w:rPr>
  </w:style>
  <w:style w:type="paragraph" w:customStyle="1" w:styleId="133">
    <w:name w:val="列表段落2"/>
    <w:basedOn w:val="1"/>
    <w:link w:val="134"/>
    <w:qFormat/>
    <w:uiPriority w:val="0"/>
    <w:pPr>
      <w:spacing w:beforeAutospacing="0" w:after="0"/>
      <w:ind w:left="840" w:leftChars="400"/>
    </w:pPr>
    <w:rPr>
      <w:rFonts w:ascii="Times" w:hAnsi="Times" w:eastAsia="Batang"/>
    </w:rPr>
  </w:style>
  <w:style w:type="character" w:customStyle="1" w:styleId="134">
    <w:name w:val="列表段落 字符11"/>
    <w:basedOn w:val="30"/>
    <w:link w:val="133"/>
    <w:qFormat/>
    <w:uiPriority w:val="0"/>
    <w:rPr>
      <w:rFonts w:hint="default" w:ascii="Times" w:hAnsi="Times" w:eastAsia="Batang" w:cs="Times"/>
      <w:szCs w:val="24"/>
      <w:lang w:val="en-US"/>
    </w:rPr>
  </w:style>
  <w:style w:type="paragraph" w:customStyle="1" w:styleId="135">
    <w:name w:val="Reference"/>
    <w:basedOn w:val="1"/>
    <w:qFormat/>
    <w:uiPriority w:val="0"/>
    <w:pPr>
      <w:keepLines/>
      <w:numPr>
        <w:ilvl w:val="0"/>
        <w:numId w:val="6"/>
      </w:numPr>
      <w:overflowPunct w:val="0"/>
      <w:autoSpaceDE w:val="0"/>
      <w:autoSpaceDN w:val="0"/>
      <w:adjustRightInd w:val="0"/>
      <w:snapToGrid/>
      <w:spacing w:beforeAutospacing="0" w:after="180" w:afterLines="0"/>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wmf"/><Relationship Id="rId12" Type="http://schemas.openxmlformats.org/officeDocument/2006/relationships/image" Target="media/image2.jpe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AAE37-F044-4C27-B19A-3E44A2CE35F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3508</Words>
  <Characters>19999</Characters>
  <Lines>166</Lines>
  <Paragraphs>46</Paragraphs>
  <TotalTime>15</TotalTime>
  <ScaleCrop>false</ScaleCrop>
  <LinksUpToDate>false</LinksUpToDate>
  <CharactersWithSpaces>23461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2024-08-09T06:55:00Z</dcterms:created>
  <dc:creator>ZTE</dc:creator>
  <cp:lastModifiedBy>Yang</cp:lastModifiedBy>
  <dcterms:modified xsi:type="dcterms:W3CDTF">2024-11-08T07:25:15Z</dcterms:modified>
  <dc:title>Full Tx Power</dc:title>
  <cp:revision>389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E5F322C219E14829849646576B30AEE1</vt:lpwstr>
  </property>
</Properties>
</file>